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94"/>
        <w:gridCol w:w="4205"/>
      </w:tblGrid>
      <w:tr w:rsidR="00AD2065" w:rsidTr="00B34DA9">
        <w:trPr>
          <w:trHeight w:val="915"/>
        </w:trPr>
        <w:tc>
          <w:tcPr>
            <w:tcW w:w="5644" w:type="dxa"/>
            <w:vAlign w:val="center"/>
          </w:tcPr>
          <w:p w:rsidR="00907E0D" w:rsidRDefault="0012715C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B34DA9" w:rsidP="006B2D7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678" w:type="dxa"/>
          </w:tcPr>
          <w:p w:rsidR="00AD2065" w:rsidRDefault="008173D7" w:rsidP="00B27C5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15 Mayıs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6328664F" wp14:editId="1FE9C0B7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6B2D78" w:rsidRPr="006B2D78" w:rsidRDefault="008173D7" w:rsidP="00ED75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 Şubat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proofErr w:type="spellStart"/>
      <w:r w:rsidR="000F3A7D">
        <w:rPr>
          <w:rFonts w:ascii="Times New Roman" w:hAnsi="Times New Roman" w:cs="Times New Roman"/>
          <w:b/>
        </w:rPr>
        <w:t>Hanehalkı</w:t>
      </w:r>
      <w:proofErr w:type="spellEnd"/>
      <w:r w:rsidR="000F3A7D">
        <w:rPr>
          <w:rFonts w:ascii="Times New Roman" w:hAnsi="Times New Roman" w:cs="Times New Roman"/>
          <w:b/>
        </w:rPr>
        <w:t xml:space="preserve"> İşgücü İstatistikleri Türkiye İstatistik Kurumu tarafından </w:t>
      </w:r>
      <w:r>
        <w:rPr>
          <w:rFonts w:ascii="Times New Roman" w:hAnsi="Times New Roman" w:cs="Times New Roman"/>
          <w:b/>
        </w:rPr>
        <w:t>15 Mayıs</w:t>
      </w:r>
      <w:r w:rsidR="00C67B1D">
        <w:rPr>
          <w:rFonts w:ascii="Times New Roman" w:hAnsi="Times New Roman" w:cs="Times New Roman"/>
          <w:b/>
        </w:rPr>
        <w:t xml:space="preserve"> 2015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 xml:space="preserve">açıklandı. </w:t>
      </w:r>
    </w:p>
    <w:p w:rsidR="001E65DA" w:rsidRDefault="008173D7" w:rsidP="001E65DA">
      <w:pPr>
        <w:pStyle w:val="Balk2"/>
      </w:pPr>
      <w:r>
        <w:t>2015’in Şubat</w:t>
      </w:r>
      <w:r w:rsidR="0012715C">
        <w:t xml:space="preserve"> ayında </w:t>
      </w:r>
      <w:r>
        <w:t>Türkiye’de toplam işsizlik %11,2</w:t>
      </w:r>
      <w:r w:rsidR="001E65DA">
        <w:t xml:space="preserve">, </w:t>
      </w:r>
      <w:r w:rsidR="00F21401">
        <w:t xml:space="preserve">tarım dışı </w:t>
      </w:r>
      <w:r>
        <w:t>işsizlik ise %13,2</w:t>
      </w:r>
      <w:r w:rsidR="00C67B1D">
        <w:t xml:space="preserve"> olarak gerçekleşti</w:t>
      </w:r>
      <w:r w:rsidR="001E65DA">
        <w:t>. Genç nüfusta ise işsizlik</w:t>
      </w:r>
      <w:r w:rsidR="0012715C">
        <w:t xml:space="preserve"> geçen yılın aynı dönemine göre artarak %20</w:t>
      </w:r>
      <w:r w:rsidR="001E65DA">
        <w:t xml:space="preserve"> oranı</w:t>
      </w:r>
      <w:r w:rsidR="00C67B1D">
        <w:t>nda gerçekleşti.</w:t>
      </w:r>
    </w:p>
    <w:p w:rsidR="001E65DA" w:rsidRPr="001E65DA" w:rsidRDefault="001E65DA" w:rsidP="001E65DA"/>
    <w:p w:rsidR="00B957A3" w:rsidRDefault="008173D7" w:rsidP="00ED75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Şubat </w:t>
      </w:r>
      <w:r w:rsidR="0012715C">
        <w:rPr>
          <w:rFonts w:ascii="Times New Roman" w:hAnsi="Times New Roman" w:cs="Times New Roman"/>
        </w:rPr>
        <w:t>2015</w:t>
      </w:r>
      <w:r w:rsidR="00ED7524" w:rsidRPr="005D1CCA">
        <w:rPr>
          <w:rFonts w:ascii="Times New Roman" w:hAnsi="Times New Roman" w:cs="Times New Roman"/>
        </w:rPr>
        <w:t>’</w:t>
      </w:r>
      <w:r w:rsidR="000F3A7D">
        <w:rPr>
          <w:rFonts w:ascii="Times New Roman" w:hAnsi="Times New Roman" w:cs="Times New Roman"/>
        </w:rPr>
        <w:t>te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 201</w:t>
      </w:r>
      <w:r>
        <w:rPr>
          <w:rFonts w:ascii="Times New Roman" w:hAnsi="Times New Roman" w:cs="Times New Roman"/>
        </w:rPr>
        <w:t>4 yılının Şubat</w:t>
      </w:r>
      <w:r w:rsidR="0012715C">
        <w:rPr>
          <w:rFonts w:ascii="Times New Roman" w:hAnsi="Times New Roman" w:cs="Times New Roman"/>
        </w:rPr>
        <w:t xml:space="preserve"> ayına</w:t>
      </w:r>
      <w:r w:rsidR="00AF7253">
        <w:rPr>
          <w:rFonts w:ascii="Times New Roman" w:hAnsi="Times New Roman" w:cs="Times New Roman"/>
        </w:rPr>
        <w:t xml:space="preserve"> göre </w:t>
      </w:r>
      <w:r>
        <w:rPr>
          <w:rFonts w:ascii="Times New Roman" w:hAnsi="Times New Roman" w:cs="Times New Roman"/>
        </w:rPr>
        <w:t>577</w:t>
      </w:r>
      <w:r w:rsidR="0012715C">
        <w:rPr>
          <w:rFonts w:ascii="Times New Roman" w:hAnsi="Times New Roman" w:cs="Times New Roman"/>
        </w:rPr>
        <w:t xml:space="preserve"> bin </w:t>
      </w:r>
      <w:r w:rsidR="00AF7253">
        <w:rPr>
          <w:rFonts w:ascii="Times New Roman" w:hAnsi="Times New Roman" w:cs="Times New Roman"/>
        </w:rPr>
        <w:t>artış göstererek</w:t>
      </w:r>
      <w:r>
        <w:rPr>
          <w:rFonts w:ascii="Times New Roman" w:hAnsi="Times New Roman" w:cs="Times New Roman"/>
        </w:rPr>
        <w:t xml:space="preserve"> 25,576</w:t>
      </w:r>
      <w:r w:rsidR="00F21401">
        <w:rPr>
          <w:rFonts w:ascii="Times New Roman" w:hAnsi="Times New Roman" w:cs="Times New Roman"/>
        </w:rPr>
        <w:t xml:space="preserve"> </w:t>
      </w:r>
      <w:r w:rsidR="00C67B1D">
        <w:rPr>
          <w:rFonts w:ascii="Times New Roman" w:hAnsi="Times New Roman" w:cs="Times New Roman"/>
        </w:rPr>
        <w:t>milyon kişi oldu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3E0504">
        <w:rPr>
          <w:rFonts w:ascii="Times New Roman" w:hAnsi="Times New Roman" w:cs="Times New Roman"/>
          <w:b/>
          <w:szCs w:val="18"/>
        </w:rPr>
        <w:t xml:space="preserve"> </w:t>
      </w:r>
      <w:r w:rsidRPr="00B53BE3">
        <w:rPr>
          <w:rFonts w:ascii="Times New Roman" w:hAnsi="Times New Roman" w:cs="Times New Roman"/>
          <w:b/>
          <w:szCs w:val="18"/>
        </w:rPr>
        <w:t>(</w:t>
      </w:r>
      <w:r w:rsidR="008173D7">
        <w:rPr>
          <w:rFonts w:ascii="Times New Roman" w:hAnsi="Times New Roman" w:cs="Times New Roman"/>
          <w:b/>
          <w:szCs w:val="18"/>
        </w:rPr>
        <w:t>Şubat 2014-Şubat</w:t>
      </w:r>
      <w:r w:rsidR="00AF1830">
        <w:rPr>
          <w:rFonts w:ascii="Times New Roman" w:hAnsi="Times New Roman" w:cs="Times New Roman"/>
          <w:b/>
          <w:szCs w:val="18"/>
        </w:rPr>
        <w:t xml:space="preserve"> 2015</w:t>
      </w:r>
      <w:r w:rsidRPr="00B53BE3">
        <w:rPr>
          <w:rFonts w:ascii="Times New Roman" w:hAnsi="Times New Roman" w:cs="Times New Roman"/>
          <w:b/>
          <w:szCs w:val="18"/>
        </w:rPr>
        <w:t>)</w:t>
      </w:r>
    </w:p>
    <w:p w:rsidR="00ED7524" w:rsidRDefault="008173D7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noProof/>
        </w:rPr>
        <w:drawing>
          <wp:inline distT="0" distB="0" distL="0" distR="0" wp14:anchorId="3FAEF2E3" wp14:editId="257E1C81">
            <wp:extent cx="5657850" cy="2743200"/>
            <wp:effectExtent l="0" t="0" r="19050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461AA0" w:rsidRDefault="008173D7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Şubat</w:t>
      </w:r>
      <w:r w:rsidR="0012715C">
        <w:rPr>
          <w:rFonts w:ascii="Times New Roman" w:hAnsi="Times New Roman" w:cs="Times New Roman"/>
          <w:szCs w:val="18"/>
        </w:rPr>
        <w:t xml:space="preserve"> 2015’te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proofErr w:type="gramStart"/>
      <w:r w:rsidR="00F12E5E">
        <w:rPr>
          <w:rFonts w:ascii="Times New Roman" w:hAnsi="Times New Roman" w:cs="Times New Roman"/>
          <w:szCs w:val="18"/>
        </w:rPr>
        <w:t>dahil</w:t>
      </w:r>
      <w:proofErr w:type="gramEnd"/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12715C">
        <w:rPr>
          <w:rFonts w:ascii="Times New Roman" w:hAnsi="Times New Roman" w:cs="Times New Roman"/>
          <w:szCs w:val="18"/>
        </w:rPr>
        <w:t>2014 yılının aynı dönemine göre azalarak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23160F">
        <w:rPr>
          <w:rFonts w:ascii="Times New Roman" w:hAnsi="Times New Roman" w:cs="Times New Roman"/>
          <w:szCs w:val="18"/>
        </w:rPr>
        <w:t>20.391</w:t>
      </w:r>
      <w:r w:rsidR="0012715C">
        <w:rPr>
          <w:rFonts w:ascii="Times New Roman" w:hAnsi="Times New Roman" w:cs="Times New Roman"/>
          <w:szCs w:val="18"/>
        </w:rPr>
        <w:t xml:space="preserve"> milyon olarak gerçekleşirken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işgücüne dahil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23160F">
        <w:rPr>
          <w:rFonts w:ascii="Times New Roman" w:hAnsi="Times New Roman" w:cs="Times New Roman"/>
          <w:szCs w:val="18"/>
        </w:rPr>
        <w:t xml:space="preserve">8.352 </w:t>
      </w:r>
      <w:r w:rsidR="00496F35">
        <w:rPr>
          <w:rFonts w:ascii="Times New Roman" w:hAnsi="Times New Roman" w:cs="Times New Roman"/>
          <w:szCs w:val="18"/>
        </w:rPr>
        <w:t>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proofErr w:type="gramStart"/>
      <w:r w:rsidR="00C67B1D">
        <w:rPr>
          <w:rFonts w:ascii="Times New Roman" w:hAnsi="Times New Roman" w:cs="Times New Roman"/>
          <w:szCs w:val="18"/>
        </w:rPr>
        <w:t>dahil</w:t>
      </w:r>
      <w:proofErr w:type="gramEnd"/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>bir önceki yılın aynı dönemine göre azalara</w:t>
      </w:r>
      <w:r w:rsidR="0023160F">
        <w:rPr>
          <w:rFonts w:ascii="Times New Roman" w:hAnsi="Times New Roman" w:cs="Times New Roman"/>
          <w:szCs w:val="18"/>
        </w:rPr>
        <w:t>k 28.742</w:t>
      </w:r>
      <w:r w:rsidR="0012715C">
        <w:rPr>
          <w:rFonts w:ascii="Times New Roman" w:hAnsi="Times New Roman" w:cs="Times New Roman"/>
          <w:szCs w:val="18"/>
        </w:rPr>
        <w:t xml:space="preserve"> milyon kişiye geriledi</w:t>
      </w:r>
      <w:r w:rsidR="00F12E5E">
        <w:rPr>
          <w:rFonts w:ascii="Times New Roman" w:hAnsi="Times New Roman" w:cs="Times New Roman"/>
          <w:szCs w:val="18"/>
        </w:rPr>
        <w:t xml:space="preserve">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23160F">
        <w:rPr>
          <w:rFonts w:ascii="Times New Roman" w:hAnsi="Times New Roman" w:cs="Times New Roman"/>
          <w:szCs w:val="18"/>
        </w:rPr>
        <w:t>istihdamı 4.783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1A195B" w:rsidRPr="00B53BE3">
        <w:rPr>
          <w:rFonts w:ascii="Times New Roman" w:hAnsi="Times New Roman" w:cs="Times New Roman"/>
          <w:szCs w:val="18"/>
        </w:rPr>
        <w:t>20</w:t>
      </w:r>
      <w:r w:rsidR="00B53BE3">
        <w:rPr>
          <w:rFonts w:ascii="Times New Roman" w:hAnsi="Times New Roman" w:cs="Times New Roman"/>
          <w:szCs w:val="18"/>
        </w:rPr>
        <w:t>.</w:t>
      </w:r>
      <w:r w:rsidR="0023160F">
        <w:rPr>
          <w:rFonts w:ascii="Times New Roman" w:hAnsi="Times New Roman" w:cs="Times New Roman"/>
          <w:szCs w:val="18"/>
        </w:rPr>
        <w:t>794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 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ED7524" w:rsidRPr="00B27A6A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23160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Şubat</w:t>
      </w:r>
      <w:r w:rsidR="00AF183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2015</w:t>
      </w:r>
    </w:p>
    <w:p w:rsidR="00774754" w:rsidRDefault="0023160F" w:rsidP="00ED7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E1ED1B1" wp14:editId="76898D5B">
            <wp:extent cx="5972810" cy="2600325"/>
            <wp:effectExtent l="0" t="0" r="27940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7A3" w:rsidRDefault="009A2AEB" w:rsidP="001E65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</w:t>
      </w:r>
      <w:r w:rsidR="0023160F">
        <w:rPr>
          <w:rFonts w:ascii="Times New Roman" w:hAnsi="Times New Roman" w:cs="Times New Roman"/>
          <w:sz w:val="24"/>
        </w:rPr>
        <w:t>dönemine göre artarak yüzde 33,3</w:t>
      </w:r>
      <w:r>
        <w:rPr>
          <w:rFonts w:ascii="Times New Roman" w:hAnsi="Times New Roman" w:cs="Times New Roman"/>
          <w:sz w:val="24"/>
        </w:rPr>
        <w:t>’</w:t>
      </w:r>
      <w:r w:rsidR="00C67B1D">
        <w:rPr>
          <w:rFonts w:ascii="Times New Roman" w:hAnsi="Times New Roman" w:cs="Times New Roman"/>
          <w:sz w:val="24"/>
        </w:rPr>
        <w:t>a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F21401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artarak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 w:rsidR="0023160F">
        <w:rPr>
          <w:rFonts w:ascii="Times New Roman" w:hAnsi="Times New Roman" w:cs="Times New Roman"/>
          <w:sz w:val="24"/>
        </w:rPr>
        <w:t>0,8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23160F">
        <w:rPr>
          <w:rFonts w:ascii="Times New Roman" w:hAnsi="Times New Roman" w:cs="Times New Roman"/>
          <w:sz w:val="24"/>
        </w:rPr>
        <w:t>5 Şubat</w:t>
      </w:r>
      <w:r>
        <w:rPr>
          <w:rFonts w:ascii="Times New Roman" w:hAnsi="Times New Roman" w:cs="Times New Roman"/>
          <w:sz w:val="24"/>
        </w:rPr>
        <w:t>’ta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23160F">
        <w:rPr>
          <w:rFonts w:ascii="Times New Roman" w:hAnsi="Times New Roman" w:cs="Times New Roman"/>
          <w:sz w:val="24"/>
        </w:rPr>
        <w:t>işgücüne katılım oranı yüzde 54,6</w:t>
      </w:r>
      <w:r>
        <w:rPr>
          <w:rFonts w:ascii="Times New Roman" w:hAnsi="Times New Roman" w:cs="Times New Roman"/>
          <w:sz w:val="24"/>
        </w:rPr>
        <w:t xml:space="preserve"> olarak gerçekleşti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genelinde </w:t>
      </w:r>
      <w:r w:rsidR="0038753E">
        <w:rPr>
          <w:rFonts w:ascii="Times New Roman" w:hAnsi="Times New Roman" w:cs="Times New Roman"/>
        </w:rPr>
        <w:t>15</w:t>
      </w:r>
      <w:r w:rsidR="0023160F">
        <w:rPr>
          <w:rFonts w:ascii="Times New Roman" w:hAnsi="Times New Roman" w:cs="Times New Roman"/>
        </w:rPr>
        <w:t xml:space="preserve">-64 yaş arası </w:t>
      </w:r>
      <w:r w:rsidR="001A195B">
        <w:rPr>
          <w:rFonts w:ascii="Times New Roman" w:hAnsi="Times New Roman" w:cs="Times New Roman"/>
        </w:rPr>
        <w:t>bireylerde işsiz s</w:t>
      </w:r>
      <w:r w:rsidR="001A195B" w:rsidRPr="005D1CCA">
        <w:rPr>
          <w:rFonts w:ascii="Times New Roman" w:hAnsi="Times New Roman" w:cs="Times New Roman"/>
        </w:rPr>
        <w:t>ayısı</w:t>
      </w:r>
      <w:r>
        <w:rPr>
          <w:rFonts w:ascii="Times New Roman" w:hAnsi="Times New Roman" w:cs="Times New Roman"/>
        </w:rPr>
        <w:t xml:space="preserve"> ise 2014 yılının aynı dönemine</w:t>
      </w:r>
      <w:r w:rsidR="002A35B5">
        <w:rPr>
          <w:rFonts w:ascii="Times New Roman" w:hAnsi="Times New Roman" w:cs="Times New Roman"/>
        </w:rPr>
        <w:t xml:space="preserve"> göre </w:t>
      </w:r>
      <w:r w:rsidR="00496F35">
        <w:rPr>
          <w:rFonts w:ascii="Times New Roman" w:hAnsi="Times New Roman" w:cs="Times New Roman"/>
        </w:rPr>
        <w:t>artarak</w:t>
      </w:r>
      <w:r w:rsidR="001A195B" w:rsidRPr="005D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23160F">
        <w:rPr>
          <w:rFonts w:ascii="Times New Roman" w:hAnsi="Times New Roman" w:cs="Times New Roman"/>
        </w:rPr>
        <w:t>226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141A4E">
        <w:rPr>
          <w:rFonts w:ascii="Times New Roman" w:hAnsi="Times New Roman" w:cs="Times New Roman"/>
        </w:rPr>
        <w:t xml:space="preserve"> kişiye çıktı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toplamda yüzde 11</w:t>
      </w:r>
      <w:r w:rsidR="00363F39">
        <w:rPr>
          <w:rFonts w:ascii="Times New Roman" w:hAnsi="Times New Roman" w:cs="Times New Roman"/>
        </w:rPr>
        <w:t>,</w:t>
      </w:r>
      <w:r w:rsidR="0023160F">
        <w:rPr>
          <w:rFonts w:ascii="Times New Roman" w:hAnsi="Times New Roman" w:cs="Times New Roman"/>
        </w:rPr>
        <w:t>4; kadınlarda yüzde 13,5</w:t>
      </w:r>
      <w:r w:rsidR="001A195B">
        <w:rPr>
          <w:rFonts w:ascii="Times New Roman" w:hAnsi="Times New Roman" w:cs="Times New Roman"/>
        </w:rPr>
        <w:t xml:space="preserve">, erkeklerde ise yüzde </w:t>
      </w:r>
      <w:r w:rsidR="0023160F">
        <w:rPr>
          <w:rFonts w:ascii="Times New Roman" w:hAnsi="Times New Roman" w:cs="Times New Roman"/>
        </w:rPr>
        <w:t>10,5</w:t>
      </w:r>
      <w:r w:rsidR="001A195B">
        <w:rPr>
          <w:rFonts w:ascii="Times New Roman" w:hAnsi="Times New Roman" w:cs="Times New Roman"/>
        </w:rPr>
        <w:t>’</w:t>
      </w:r>
      <w:r w:rsidR="00496F35">
        <w:rPr>
          <w:rFonts w:ascii="Times New Roman" w:hAnsi="Times New Roman" w:cs="Times New Roman"/>
        </w:rPr>
        <w:t xml:space="preserve">ye ulaşmış </w:t>
      </w:r>
      <w:r w:rsidR="0027053F">
        <w:rPr>
          <w:rFonts w:ascii="Times New Roman" w:hAnsi="Times New Roman" w:cs="Times New Roman"/>
        </w:rPr>
        <w:t>oldu</w:t>
      </w:r>
      <w:r w:rsidR="001A195B">
        <w:rPr>
          <w:rFonts w:ascii="Times New Roman" w:hAnsi="Times New Roman" w:cs="Times New Roman"/>
        </w:rPr>
        <w:t xml:space="preserve">.  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yüzde </w:t>
      </w:r>
      <w:r w:rsidRPr="00461AA0">
        <w:rPr>
          <w:rFonts w:ascii="Times New Roman" w:hAnsi="Times New Roman" w:cs="Times New Roman"/>
          <w:b/>
          <w:szCs w:val="18"/>
        </w:rPr>
        <w:t>(</w:t>
      </w:r>
      <w:r w:rsidR="0038753E">
        <w:rPr>
          <w:rFonts w:ascii="Times New Roman" w:hAnsi="Times New Roman" w:cs="Times New Roman"/>
          <w:b/>
          <w:szCs w:val="18"/>
        </w:rPr>
        <w:t>Şubat</w:t>
      </w:r>
      <w:r w:rsidR="00AF1830">
        <w:rPr>
          <w:rFonts w:ascii="Times New Roman" w:hAnsi="Times New Roman" w:cs="Times New Roman"/>
          <w:b/>
          <w:szCs w:val="18"/>
        </w:rPr>
        <w:t xml:space="preserve"> 2015</w:t>
      </w:r>
      <w:r w:rsidRPr="00461AA0">
        <w:rPr>
          <w:rFonts w:ascii="Times New Roman" w:hAnsi="Times New Roman" w:cs="Times New Roman"/>
          <w:b/>
          <w:szCs w:val="18"/>
        </w:rPr>
        <w:t>)</w:t>
      </w:r>
    </w:p>
    <w:p w:rsidR="00AF1830" w:rsidRPr="00461AA0" w:rsidRDefault="0038753E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>
        <w:rPr>
          <w:noProof/>
        </w:rPr>
        <w:drawing>
          <wp:inline distT="0" distB="0" distL="0" distR="0" wp14:anchorId="5FF1A610" wp14:editId="4A69E4CB">
            <wp:extent cx="4572000" cy="2743200"/>
            <wp:effectExtent l="0" t="0" r="19050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12" w:rsidRDefault="00C20312" w:rsidP="00C04441">
      <w:pPr>
        <w:spacing w:after="0" w:line="240" w:lineRule="auto"/>
      </w:pPr>
      <w:r>
        <w:separator/>
      </w:r>
    </w:p>
  </w:endnote>
  <w:endnote w:type="continuationSeparator" w:id="0">
    <w:p w:rsidR="00C20312" w:rsidRDefault="00C20312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12" w:rsidRDefault="00C20312" w:rsidP="00C04441">
      <w:pPr>
        <w:spacing w:after="0" w:line="240" w:lineRule="auto"/>
      </w:pPr>
      <w:r>
        <w:separator/>
      </w:r>
    </w:p>
  </w:footnote>
  <w:footnote w:type="continuationSeparator" w:id="0">
    <w:p w:rsidR="00C20312" w:rsidRDefault="00C20312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701FD"/>
    <w:rsid w:val="000B7EA9"/>
    <w:rsid w:val="000D18BE"/>
    <w:rsid w:val="000E7256"/>
    <w:rsid w:val="000F055A"/>
    <w:rsid w:val="000F3A7D"/>
    <w:rsid w:val="001243A0"/>
    <w:rsid w:val="0012715C"/>
    <w:rsid w:val="00141A4E"/>
    <w:rsid w:val="001544CF"/>
    <w:rsid w:val="00157358"/>
    <w:rsid w:val="00160C8F"/>
    <w:rsid w:val="001A195B"/>
    <w:rsid w:val="001A69D2"/>
    <w:rsid w:val="001E11A2"/>
    <w:rsid w:val="001E5A63"/>
    <w:rsid w:val="001E65DA"/>
    <w:rsid w:val="001F7633"/>
    <w:rsid w:val="00220318"/>
    <w:rsid w:val="0023160F"/>
    <w:rsid w:val="00233BD5"/>
    <w:rsid w:val="00234AE3"/>
    <w:rsid w:val="0027053F"/>
    <w:rsid w:val="00271FF8"/>
    <w:rsid w:val="002A35B5"/>
    <w:rsid w:val="002B53E4"/>
    <w:rsid w:val="002D3E19"/>
    <w:rsid w:val="00351561"/>
    <w:rsid w:val="00357954"/>
    <w:rsid w:val="00363F39"/>
    <w:rsid w:val="003641B3"/>
    <w:rsid w:val="0038753E"/>
    <w:rsid w:val="003A57CB"/>
    <w:rsid w:val="003B5279"/>
    <w:rsid w:val="003C6747"/>
    <w:rsid w:val="003E0504"/>
    <w:rsid w:val="00424CC0"/>
    <w:rsid w:val="00432DF5"/>
    <w:rsid w:val="00461AA0"/>
    <w:rsid w:val="00496F35"/>
    <w:rsid w:val="004E5B26"/>
    <w:rsid w:val="00517288"/>
    <w:rsid w:val="00522A6C"/>
    <w:rsid w:val="005405F5"/>
    <w:rsid w:val="005500E3"/>
    <w:rsid w:val="0056193B"/>
    <w:rsid w:val="00574C38"/>
    <w:rsid w:val="005A5460"/>
    <w:rsid w:val="005C53F8"/>
    <w:rsid w:val="006020BD"/>
    <w:rsid w:val="00677B0D"/>
    <w:rsid w:val="006B2D78"/>
    <w:rsid w:val="006D41B5"/>
    <w:rsid w:val="0070186C"/>
    <w:rsid w:val="00731B2B"/>
    <w:rsid w:val="007330A1"/>
    <w:rsid w:val="00734FA5"/>
    <w:rsid w:val="007441EB"/>
    <w:rsid w:val="007736BE"/>
    <w:rsid w:val="00774754"/>
    <w:rsid w:val="007B58E6"/>
    <w:rsid w:val="007E6560"/>
    <w:rsid w:val="007F7E1F"/>
    <w:rsid w:val="008173D7"/>
    <w:rsid w:val="00835D94"/>
    <w:rsid w:val="008820C9"/>
    <w:rsid w:val="008A575D"/>
    <w:rsid w:val="008B5FD9"/>
    <w:rsid w:val="008C2C15"/>
    <w:rsid w:val="008C7F9E"/>
    <w:rsid w:val="008D1077"/>
    <w:rsid w:val="00907E0D"/>
    <w:rsid w:val="00923FD3"/>
    <w:rsid w:val="00935B34"/>
    <w:rsid w:val="00995BB7"/>
    <w:rsid w:val="009A2AEB"/>
    <w:rsid w:val="009A6E86"/>
    <w:rsid w:val="009F0A83"/>
    <w:rsid w:val="009F54F1"/>
    <w:rsid w:val="00A2391E"/>
    <w:rsid w:val="00A705F6"/>
    <w:rsid w:val="00A77365"/>
    <w:rsid w:val="00AD2065"/>
    <w:rsid w:val="00AF1830"/>
    <w:rsid w:val="00AF7253"/>
    <w:rsid w:val="00B27A6A"/>
    <w:rsid w:val="00B27C50"/>
    <w:rsid w:val="00B34DA9"/>
    <w:rsid w:val="00B53BE3"/>
    <w:rsid w:val="00B71707"/>
    <w:rsid w:val="00B957A3"/>
    <w:rsid w:val="00B97F9C"/>
    <w:rsid w:val="00BA5C1B"/>
    <w:rsid w:val="00BB1743"/>
    <w:rsid w:val="00BC294E"/>
    <w:rsid w:val="00BC5F10"/>
    <w:rsid w:val="00C04441"/>
    <w:rsid w:val="00C144CC"/>
    <w:rsid w:val="00C20312"/>
    <w:rsid w:val="00C21D8B"/>
    <w:rsid w:val="00C67B1D"/>
    <w:rsid w:val="00CC7D5F"/>
    <w:rsid w:val="00D2299D"/>
    <w:rsid w:val="00D23355"/>
    <w:rsid w:val="00D93669"/>
    <w:rsid w:val="00DB1389"/>
    <w:rsid w:val="00DC5FDC"/>
    <w:rsid w:val="00DE7934"/>
    <w:rsid w:val="00E619A9"/>
    <w:rsid w:val="00ED7524"/>
    <w:rsid w:val="00EE696A"/>
    <w:rsid w:val="00EF4E45"/>
    <w:rsid w:val="00EF778F"/>
    <w:rsid w:val="00F061D6"/>
    <w:rsid w:val="00F12E5E"/>
    <w:rsid w:val="00F21401"/>
    <w:rsid w:val="00F34C9C"/>
    <w:rsid w:val="00FB288F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8-PC\Desktop\Documents\TEPAV\i&#351;sizlik%20haber%20b&#252;lteni\Kitap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8-PC\Desktop\Documents\TEPAV\i&#351;sizlik%20haber%20b&#252;lteni\Kitap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8-PC\Desktop\Documents\TEPAV\i&#351;sizlik%20haber%20b&#252;lteni\Kitap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Sayfa1!$T$1</c:f>
              <c:strCache>
                <c:ptCount val="1"/>
                <c:pt idx="0">
                  <c:v>İstihdam (Employed)</c:v>
                </c:pt>
              </c:strCache>
            </c:strRef>
          </c:tx>
          <c:marker>
            <c:symbol val="none"/>
          </c:marker>
          <c:cat>
            <c:numRef>
              <c:f>Sayfa1!$S$2:$S$14</c:f>
              <c:numCache>
                <c:formatCode>mmm\-yy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Sayfa1!$T$2:$T$14</c:f>
              <c:numCache>
                <c:formatCode>###\ ###</c:formatCode>
                <c:ptCount val="13"/>
                <c:pt idx="0">
                  <c:v>24999</c:v>
                </c:pt>
                <c:pt idx="1">
                  <c:v>25583</c:v>
                </c:pt>
                <c:pt idx="2">
                  <c:v>26194</c:v>
                </c:pt>
                <c:pt idx="3">
                  <c:v>26538</c:v>
                </c:pt>
                <c:pt idx="4">
                  <c:v>26586</c:v>
                </c:pt>
                <c:pt idx="5">
                  <c:v>26410</c:v>
                </c:pt>
                <c:pt idx="6">
                  <c:v>26313</c:v>
                </c:pt>
                <c:pt idx="7">
                  <c:v>26169</c:v>
                </c:pt>
                <c:pt idx="8">
                  <c:v>26138</c:v>
                </c:pt>
                <c:pt idx="9">
                  <c:v>25874</c:v>
                </c:pt>
                <c:pt idx="10">
                  <c:v>25933</c:v>
                </c:pt>
                <c:pt idx="11">
                  <c:v>25454</c:v>
                </c:pt>
                <c:pt idx="12">
                  <c:v>25576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Sayfa1!$U$1</c:f>
              <c:strCache>
                <c:ptCount val="1"/>
                <c:pt idx="0">
                  <c:v>İşgücü (Laborforce)</c:v>
                </c:pt>
              </c:strCache>
            </c:strRef>
          </c:tx>
          <c:marker>
            <c:symbol val="none"/>
          </c:marker>
          <c:cat>
            <c:numRef>
              <c:f>Sayfa1!$S$2:$S$14</c:f>
              <c:numCache>
                <c:formatCode>mmm\-yy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Sayfa1!$U$2:$U$14</c:f>
              <c:numCache>
                <c:formatCode>###\ ###</c:formatCode>
                <c:ptCount val="13"/>
                <c:pt idx="0">
                  <c:v>27824</c:v>
                </c:pt>
                <c:pt idx="1">
                  <c:v>28330</c:v>
                </c:pt>
                <c:pt idx="2">
                  <c:v>28773</c:v>
                </c:pt>
                <c:pt idx="3">
                  <c:v>29089</c:v>
                </c:pt>
                <c:pt idx="4">
                  <c:v>29240</c:v>
                </c:pt>
                <c:pt idx="5">
                  <c:v>29276</c:v>
                </c:pt>
                <c:pt idx="6">
                  <c:v>29257</c:v>
                </c:pt>
                <c:pt idx="7">
                  <c:v>29233</c:v>
                </c:pt>
                <c:pt idx="8">
                  <c:v>29181</c:v>
                </c:pt>
                <c:pt idx="9">
                  <c:v>28970</c:v>
                </c:pt>
                <c:pt idx="10">
                  <c:v>28786</c:v>
                </c:pt>
                <c:pt idx="11">
                  <c:v>28713</c:v>
                </c:pt>
                <c:pt idx="12">
                  <c:v>28803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130200704"/>
        <c:axId val="138308608"/>
      </c:lineChart>
      <c:dateAx>
        <c:axId val="13020070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138308608"/>
        <c:crosses val="autoZero"/>
        <c:auto val="1"/>
        <c:lblOffset val="100"/>
        <c:baseTimeUnit val="months"/>
      </c:dateAx>
      <c:valAx>
        <c:axId val="1383086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Bin</a:t>
                </a:r>
              </a:p>
            </c:rich>
          </c:tx>
          <c:overlay val="0"/>
        </c:title>
        <c:numFmt formatCode="###\ ###" sourceLinked="1"/>
        <c:majorTickMark val="out"/>
        <c:minorTickMark val="none"/>
        <c:tickLblPos val="nextTo"/>
        <c:crossAx val="13020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</c:spPr>
          <c:invertIfNegative val="0"/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Sayfa1!$B$23:$G$23</c:f>
              <c:numCache>
                <c:formatCode>General</c:formatCode>
                <c:ptCount val="6"/>
                <c:pt idx="0">
                  <c:v>57545</c:v>
                </c:pt>
                <c:pt idx="1">
                  <c:v>28803</c:v>
                </c:pt>
                <c:pt idx="2">
                  <c:v>4783</c:v>
                </c:pt>
                <c:pt idx="3">
                  <c:v>20794</c:v>
                </c:pt>
                <c:pt idx="4">
                  <c:v>3226</c:v>
                </c:pt>
                <c:pt idx="5">
                  <c:v>28742</c:v>
                </c:pt>
              </c:numCache>
            </c:numRef>
          </c:val>
        </c:ser>
        <c:ser>
          <c:idx val="1"/>
          <c:order val="1"/>
          <c:tx>
            <c:strRef>
              <c:f>Sayfa1!$A$24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Sayfa1!$B$24:$G$24</c:f>
              <c:numCache>
                <c:formatCode>General</c:formatCode>
                <c:ptCount val="6"/>
                <c:pt idx="0">
                  <c:v>29125</c:v>
                </c:pt>
                <c:pt idx="1">
                  <c:v>20068</c:v>
                </c:pt>
                <c:pt idx="2">
                  <c:v>2113</c:v>
                </c:pt>
                <c:pt idx="3">
                  <c:v>5471</c:v>
                </c:pt>
                <c:pt idx="4">
                  <c:v>1151</c:v>
                </c:pt>
                <c:pt idx="5">
                  <c:v>20391</c:v>
                </c:pt>
              </c:numCache>
            </c:numRef>
          </c:val>
        </c:ser>
        <c:ser>
          <c:idx val="2"/>
          <c:order val="2"/>
          <c:tx>
            <c:strRef>
              <c:f>Sayfa1!$A$25</c:f>
              <c:strCache>
                <c:ptCount val="1"/>
                <c:pt idx="0">
                  <c:v>Erkek</c:v>
                </c:pt>
              </c:strCache>
            </c:strRef>
          </c:tx>
          <c:invertIfNegative val="0"/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Sayfa1!$B$25:$G$25</c:f>
              <c:numCache>
                <c:formatCode>General</c:formatCode>
                <c:ptCount val="6"/>
                <c:pt idx="0">
                  <c:v>28420</c:v>
                </c:pt>
                <c:pt idx="1">
                  <c:v>8735</c:v>
                </c:pt>
                <c:pt idx="2">
                  <c:v>2670</c:v>
                </c:pt>
                <c:pt idx="3">
                  <c:v>15323</c:v>
                </c:pt>
                <c:pt idx="4">
                  <c:v>2075</c:v>
                </c:pt>
                <c:pt idx="5">
                  <c:v>8352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146560"/>
        <c:axId val="140148096"/>
      </c:barChart>
      <c:catAx>
        <c:axId val="140146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tr-TR"/>
          </a:p>
        </c:txPr>
        <c:crossAx val="140148096"/>
        <c:crosses val="autoZero"/>
        <c:auto val="1"/>
        <c:lblAlgn val="ctr"/>
        <c:lblOffset val="100"/>
        <c:noMultiLvlLbl val="0"/>
      </c:catAx>
      <c:valAx>
        <c:axId val="140148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14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Sayfa1!$A$42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Sayfa1!$B$42:$E$42</c:f>
              <c:numCache>
                <c:formatCode>General</c:formatCode>
                <c:ptCount val="4"/>
                <c:pt idx="0">
                  <c:v>54.6</c:v>
                </c:pt>
                <c:pt idx="1">
                  <c:v>48.4</c:v>
                </c:pt>
                <c:pt idx="2">
                  <c:v>11.4</c:v>
                </c:pt>
                <c:pt idx="3">
                  <c:v>13.2</c:v>
                </c:pt>
              </c:numCache>
            </c:numRef>
          </c:val>
        </c:ser>
        <c:ser>
          <c:idx val="1"/>
          <c:order val="1"/>
          <c:tx>
            <c:strRef>
              <c:f>Sayfa1!$A$43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Sayfa1!$B$43:$E$43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28.9</c:v>
                </c:pt>
                <c:pt idx="2">
                  <c:v>13.5</c:v>
                </c:pt>
                <c:pt idx="3">
                  <c:v>17.3</c:v>
                </c:pt>
              </c:numCache>
            </c:numRef>
          </c:val>
        </c:ser>
        <c:ser>
          <c:idx val="2"/>
          <c:order val="2"/>
          <c:tx>
            <c:strRef>
              <c:f>Sayfa1!$A$44</c:f>
              <c:strCache>
                <c:ptCount val="1"/>
                <c:pt idx="0">
                  <c:v>Erkek</c:v>
                </c:pt>
              </c:strCache>
            </c:strRef>
          </c:tx>
          <c:invertIfNegative val="0"/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Sayfa1!$B$44:$E$44</c:f>
              <c:numCache>
                <c:formatCode>General</c:formatCode>
                <c:ptCount val="4"/>
                <c:pt idx="0">
                  <c:v>75.8</c:v>
                </c:pt>
                <c:pt idx="1">
                  <c:v>67.8</c:v>
                </c:pt>
                <c:pt idx="2">
                  <c:v>10.5</c:v>
                </c:pt>
                <c:pt idx="3">
                  <c:v>11.6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99360"/>
        <c:axId val="169600896"/>
      </c:barChart>
      <c:catAx>
        <c:axId val="169599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00896"/>
        <c:crosses val="autoZero"/>
        <c:auto val="1"/>
        <c:lblAlgn val="ctr"/>
        <c:lblOffset val="100"/>
        <c:noMultiLvlLbl val="0"/>
      </c:catAx>
      <c:valAx>
        <c:axId val="169600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9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165D5-7A42-43F3-96F7-3D500CAA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Asus8-PC</cp:lastModifiedBy>
  <cp:revision>2</cp:revision>
  <cp:lastPrinted>2015-01-15T08:00:00Z</cp:lastPrinted>
  <dcterms:created xsi:type="dcterms:W3CDTF">2015-05-21T06:19:00Z</dcterms:created>
  <dcterms:modified xsi:type="dcterms:W3CDTF">2015-05-21T06:19:00Z</dcterms:modified>
</cp:coreProperties>
</file>