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147"/>
        <w:gridCol w:w="4152"/>
      </w:tblGrid>
      <w:tr w:rsidR="009805F0" w:rsidTr="007D79D8">
        <w:trPr>
          <w:trHeight w:val="915"/>
        </w:trPr>
        <w:tc>
          <w:tcPr>
            <w:tcW w:w="5644" w:type="dxa"/>
            <w:vAlign w:val="center"/>
          </w:tcPr>
          <w:p w:rsidR="00776CB6" w:rsidRDefault="001A72FE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776CB6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 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475179" w:rsidRDefault="00475179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KURULAN / KAPANAN </w:t>
            </w:r>
          </w:p>
          <w:p w:rsidR="00AD2065" w:rsidRDefault="00475179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ŞİRKET İSTATİSTİKLERİ</w:t>
            </w:r>
          </w:p>
        </w:tc>
        <w:tc>
          <w:tcPr>
            <w:tcW w:w="4678" w:type="dxa"/>
          </w:tcPr>
          <w:p w:rsidR="00AD2065" w:rsidRDefault="001A72FE" w:rsidP="00C61B2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0576E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1F44D6" w:rsidRDefault="006E689E" w:rsidP="00635369">
      <w:pPr>
        <w:jc w:val="both"/>
      </w:pPr>
      <w:r w:rsidRPr="001F44D6">
        <w:t>Kurulan – Kap</w:t>
      </w:r>
      <w:r w:rsidR="000576E3">
        <w:t>anan Şirket İstatistikleri Aralık</w:t>
      </w:r>
      <w:r w:rsidR="009805F0" w:rsidRPr="001F44D6">
        <w:t xml:space="preserve"> 2014 verileri</w:t>
      </w:r>
      <w:r w:rsidR="00EB586D" w:rsidRPr="001F44D6">
        <w:t>,</w:t>
      </w:r>
      <w:r w:rsidRPr="001F44D6">
        <w:t xml:space="preserve"> Türkiye Odalar ve Borsalar Birliği</w:t>
      </w:r>
      <w:r w:rsidR="000576E3">
        <w:t xml:space="preserve"> tarafından 22 Ocak</w:t>
      </w:r>
      <w:r w:rsidR="00C61B29" w:rsidRPr="001F44D6">
        <w:t xml:space="preserve"> </w:t>
      </w:r>
      <w:r w:rsidR="00EF4E45" w:rsidRPr="001F44D6">
        <w:t>2014 tarihinde yayımlandı.</w:t>
      </w:r>
    </w:p>
    <w:p w:rsidR="006E689E" w:rsidRDefault="00317D82" w:rsidP="00635369">
      <w:pPr>
        <w:jc w:val="both"/>
      </w:pPr>
      <w:r>
        <w:t>Kurulan şirket sayısı Aralık</w:t>
      </w:r>
      <w:r w:rsidR="008353AE" w:rsidRPr="008353AE">
        <w:t xml:space="preserve"> ayında, geçen </w:t>
      </w:r>
      <w:r>
        <w:t>yılın aynı ayına göre yüzde 16</w:t>
      </w:r>
      <w:r w:rsidR="008353AE" w:rsidRPr="008353AE">
        <w:t xml:space="preserve"> artarak</w:t>
      </w:r>
      <w:r>
        <w:t xml:space="preserve"> yaklaşık 125</w:t>
      </w:r>
      <w:r w:rsidR="008353AE">
        <w:t xml:space="preserve"> bin</w:t>
      </w:r>
      <w:r>
        <w:t xml:space="preserve"> 630</w:t>
      </w:r>
      <w:r w:rsidR="008353AE" w:rsidRPr="008353AE">
        <w:t>, kapa</w:t>
      </w:r>
      <w:r>
        <w:t>nan şirket sayısı ise yüzde 5 artarak 37 bin 231</w:t>
      </w:r>
      <w:r w:rsidR="008353AE" w:rsidRPr="008353AE">
        <w:t xml:space="preserve"> oldu.</w:t>
      </w:r>
    </w:p>
    <w:p w:rsidR="005F76E5" w:rsidRDefault="00317D82" w:rsidP="00635369">
      <w:pPr>
        <w:jc w:val="both"/>
      </w:pPr>
      <w:r>
        <w:t>Yılın 12 ayında kurulan 125 bin 630</w:t>
      </w:r>
      <w:r w:rsidR="007E2645">
        <w:t xml:space="preserve"> şirketin yüzde 46’sı şirket, yüzde 54’ü </w:t>
      </w:r>
      <w:r w:rsidR="007E2645" w:rsidRPr="007E2645">
        <w:t>g</w:t>
      </w:r>
      <w:r w:rsidR="007E2645">
        <w:t>erçek k</w:t>
      </w:r>
      <w:r>
        <w:t>işi ticari işletme’dir. Yılın 12 ayında kapanan 37 bin 231</w:t>
      </w:r>
      <w:r w:rsidR="007E2645">
        <w:t xml:space="preserve"> şirketin ise yüzde 38’i şirket, yüzde 62’si ise </w:t>
      </w:r>
      <w:r w:rsidR="007E2645" w:rsidRPr="007E2645">
        <w:t>g</w:t>
      </w:r>
      <w:r w:rsidR="007E2645">
        <w:t>erçek kişi ticari işletme’dir.</w:t>
      </w:r>
    </w:p>
    <w:p w:rsidR="004B45B3" w:rsidRPr="001F44D6" w:rsidRDefault="00CE0156" w:rsidP="00635369">
      <w:pPr>
        <w:jc w:val="both"/>
      </w:pPr>
      <w:r>
        <w:t>Şekil 1: 2014 Ocak-Aralık ve 2013 Ocak-Aralık</w:t>
      </w:r>
      <w:r w:rsidR="004B45B3" w:rsidRPr="001F44D6">
        <w:t xml:space="preserve"> döneminde kurulan ve kapanan şirket sayıları</w:t>
      </w:r>
    </w:p>
    <w:p w:rsidR="00CB41EA" w:rsidRDefault="00CE0156" w:rsidP="005F76E5">
      <w:pPr>
        <w:jc w:val="center"/>
      </w:pPr>
      <w:r>
        <w:rPr>
          <w:noProof/>
        </w:rPr>
        <w:drawing>
          <wp:inline distT="0" distB="0" distL="0" distR="0">
            <wp:extent cx="4733925" cy="3076575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2A" w:rsidRDefault="003F191A" w:rsidP="00F916BE">
      <w:pPr>
        <w:jc w:val="both"/>
      </w:pPr>
      <w:r>
        <w:t>On iki</w:t>
      </w:r>
      <w:r w:rsidR="00C01555">
        <w:t xml:space="preserve"> aylık veriler iller bazınd</w:t>
      </w:r>
      <w:r w:rsidR="00A666BD">
        <w:t>a incelendiğinde, İstanbul’un yaklaşık 50</w:t>
      </w:r>
      <w:r w:rsidR="00C01555">
        <w:t xml:space="preserve"> bin yeni işyeri ile en fazla şirket açan il olduğu görülmektedir. İstanbul’u Ankara</w:t>
      </w:r>
      <w:r w:rsidR="00A666BD">
        <w:t>, İzmir, Antalya, Bursa ve Konya</w:t>
      </w:r>
      <w:r w:rsidR="00C01555">
        <w:t xml:space="preserve"> takip etmiştir. Kapatılan şirket verileri incelendiğinde ise yine İstanbul </w:t>
      </w:r>
      <w:r w:rsidR="00D43D43">
        <w:t>yaklaşık 14</w:t>
      </w:r>
      <w:r w:rsidR="00C01555">
        <w:t xml:space="preserve"> bin iş yerini kapatarak en fazla iş yeri kapatan il olmuştur. İstanbul’u Ankara, İzmir, Antalya, Bursa ve Adana takip etmiştir.</w:t>
      </w:r>
    </w:p>
    <w:p w:rsidR="00F916BE" w:rsidRDefault="00F916BE" w:rsidP="00F916BE">
      <w:pPr>
        <w:jc w:val="both"/>
      </w:pPr>
    </w:p>
    <w:p w:rsidR="00A666BD" w:rsidRDefault="00A666BD" w:rsidP="009C0D2A"/>
    <w:p w:rsidR="00A666BD" w:rsidRDefault="00A666BD" w:rsidP="009C0D2A"/>
    <w:tbl>
      <w:tblPr>
        <w:tblStyle w:val="TabloKlavuzu"/>
        <w:tblW w:w="0" w:type="auto"/>
        <w:tblLook w:val="04A0"/>
      </w:tblPr>
      <w:tblGrid>
        <w:gridCol w:w="4773"/>
        <w:gridCol w:w="4773"/>
      </w:tblGrid>
      <w:tr w:rsidR="005F76E5" w:rsidTr="005F76E5">
        <w:tc>
          <w:tcPr>
            <w:tcW w:w="4773" w:type="dxa"/>
          </w:tcPr>
          <w:p w:rsidR="005F76E5" w:rsidRPr="00C04B02" w:rsidRDefault="005F76E5" w:rsidP="005F76E5">
            <w:r w:rsidRPr="00C04B02">
              <w:lastRenderedPageBreak/>
              <w:t xml:space="preserve">Şekil 2: </w:t>
            </w:r>
            <w:r w:rsidR="00137F02">
              <w:t>2014 Ocak – Aralık</w:t>
            </w:r>
            <w:r w:rsidR="004B45B3" w:rsidRPr="00C04B02">
              <w:t xml:space="preserve"> döneminde </w:t>
            </w:r>
            <w:r w:rsidRPr="00C04B02">
              <w:t>en fazla şirket kuran 10 il</w:t>
            </w:r>
          </w:p>
        </w:tc>
        <w:tc>
          <w:tcPr>
            <w:tcW w:w="4773" w:type="dxa"/>
          </w:tcPr>
          <w:p w:rsidR="005F76E5" w:rsidRPr="00C04B02" w:rsidRDefault="005F76E5" w:rsidP="005F76E5">
            <w:r w:rsidRPr="00C04B02">
              <w:t xml:space="preserve">Şekil 3: </w:t>
            </w:r>
            <w:r w:rsidR="00137F02">
              <w:t>2014 Ocak – Aralık</w:t>
            </w:r>
            <w:r w:rsidR="004B45B3" w:rsidRPr="00C04B02">
              <w:t xml:space="preserve"> döneminde</w:t>
            </w:r>
            <w:r w:rsidRPr="00C04B02">
              <w:t xml:space="preserve"> en fazla şirket kapatan 10 il</w:t>
            </w:r>
          </w:p>
        </w:tc>
      </w:tr>
      <w:tr w:rsidR="005F76E5" w:rsidTr="005F76E5">
        <w:tc>
          <w:tcPr>
            <w:tcW w:w="4773" w:type="dxa"/>
          </w:tcPr>
          <w:p w:rsidR="005F76E5" w:rsidRDefault="00E564BF" w:rsidP="005F76E5">
            <w:r w:rsidRPr="00E564BF">
              <w:drawing>
                <wp:inline distT="0" distB="0" distL="0" distR="0">
                  <wp:extent cx="2857500" cy="274320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:rsidR="005F76E5" w:rsidRDefault="00E564BF" w:rsidP="005F76E5">
            <w:r w:rsidRPr="00E564BF">
              <w:drawing>
                <wp:inline distT="0" distB="0" distL="0" distR="0">
                  <wp:extent cx="2876550" cy="2743200"/>
                  <wp:effectExtent l="0" t="0" r="0" b="0"/>
                  <wp:docPr id="8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BE6822" w:rsidRDefault="00BE6822" w:rsidP="005F76E5"/>
    <w:p w:rsidR="00BE6822" w:rsidRDefault="009C0D2A" w:rsidP="005F76E5">
      <w:r>
        <w:t>Kurulan şirket verileri</w:t>
      </w:r>
      <w:r w:rsidR="009E51C6">
        <w:t>nin</w:t>
      </w:r>
      <w:r>
        <w:t xml:space="preserve"> iller bazında bir önceki yıla göre değişimleri incelendiğinde Kars geçen yıla göre en fazla şirket sayısını arttıran il olmuştur. Kars’ı </w:t>
      </w:r>
      <w:r w:rsidR="009E51C6">
        <w:t>Kırıkkale, Kayseri, Bingöl, Kilis</w:t>
      </w:r>
      <w:r w:rsidR="00FB3D75">
        <w:t xml:space="preserve"> ve </w:t>
      </w:r>
      <w:r w:rsidR="009E51C6">
        <w:t xml:space="preserve">Kırşehir </w:t>
      </w:r>
      <w:r>
        <w:t>takip etmektedir. Kapanan şirket verileri iller bazında bir önceki yıla göre incelendiğinde Bitlis geçen yıla göre en fazla şirket kapatan il olmuştu</w:t>
      </w:r>
      <w:r w:rsidR="00FB3D75">
        <w:t xml:space="preserve">r. Bitlis’i Tunceli, Hakkâri, Iğdır, Muş </w:t>
      </w:r>
      <w:r w:rsidR="00F916BE">
        <w:t xml:space="preserve">ve Gümüşhane takip </w:t>
      </w:r>
      <w:r>
        <w:t>etmektedir.</w:t>
      </w:r>
    </w:p>
    <w:tbl>
      <w:tblPr>
        <w:tblStyle w:val="TabloKlavuzu"/>
        <w:tblW w:w="0" w:type="auto"/>
        <w:tblLook w:val="04A0"/>
      </w:tblPr>
      <w:tblGrid>
        <w:gridCol w:w="5001"/>
        <w:gridCol w:w="4621"/>
      </w:tblGrid>
      <w:tr w:rsidR="002E5CBD" w:rsidTr="00C04B02">
        <w:trPr>
          <w:trHeight w:val="786"/>
        </w:trPr>
        <w:tc>
          <w:tcPr>
            <w:tcW w:w="4773" w:type="dxa"/>
          </w:tcPr>
          <w:p w:rsidR="002E5CBD" w:rsidRPr="00C04B02" w:rsidRDefault="00F916BE" w:rsidP="00837CA0">
            <w:pPr>
              <w:jc w:val="both"/>
            </w:pPr>
            <w:r>
              <w:t xml:space="preserve">Şekil 4: 2014-2013 Ocak – Aralık </w:t>
            </w:r>
            <w:r w:rsidR="00837CA0" w:rsidRPr="00C04B02">
              <w:t>döneminde kurulan şirket bakımından en fazla değişim yaşanan 10 il</w:t>
            </w:r>
          </w:p>
        </w:tc>
        <w:tc>
          <w:tcPr>
            <w:tcW w:w="4833" w:type="dxa"/>
          </w:tcPr>
          <w:p w:rsidR="002E5CBD" w:rsidRPr="00C04B02" w:rsidRDefault="00F916BE" w:rsidP="00635369">
            <w:pPr>
              <w:jc w:val="both"/>
            </w:pPr>
            <w:r>
              <w:t>Şekil 5: 2014-2013 Ocak – Aralık</w:t>
            </w:r>
            <w:r w:rsidR="00837CA0" w:rsidRPr="00C04B02">
              <w:t xml:space="preserve"> döneminde kapanan şirket bakımından en fazla değişim yaşanan 10 il</w:t>
            </w:r>
          </w:p>
        </w:tc>
      </w:tr>
      <w:tr w:rsidR="002E5CBD" w:rsidTr="00C04B02">
        <w:trPr>
          <w:trHeight w:val="4194"/>
        </w:trPr>
        <w:tc>
          <w:tcPr>
            <w:tcW w:w="4773" w:type="dxa"/>
          </w:tcPr>
          <w:p w:rsidR="002E5CBD" w:rsidRDefault="00E564BF" w:rsidP="00635369">
            <w:pPr>
              <w:jc w:val="both"/>
            </w:pPr>
            <w:r w:rsidRPr="00E564BF">
              <w:drawing>
                <wp:inline distT="0" distB="0" distL="0" distR="0">
                  <wp:extent cx="3038475" cy="2743200"/>
                  <wp:effectExtent l="0" t="0" r="0" b="0"/>
                  <wp:docPr id="10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2E5CBD" w:rsidRDefault="00E564BF" w:rsidP="00635369">
            <w:pPr>
              <w:jc w:val="both"/>
            </w:pPr>
            <w:r w:rsidRPr="00E564BF">
              <w:drawing>
                <wp:inline distT="0" distB="0" distL="0" distR="0">
                  <wp:extent cx="2771775" cy="2743200"/>
                  <wp:effectExtent l="0" t="0" r="0" b="0"/>
                  <wp:docPr id="11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17350D" w:rsidRDefault="0017350D" w:rsidP="00635369">
      <w:pPr>
        <w:jc w:val="both"/>
      </w:pPr>
    </w:p>
    <w:p w:rsidR="000D1FAF" w:rsidRDefault="000D1FAF" w:rsidP="002963F9">
      <w:pPr>
        <w:jc w:val="both"/>
      </w:pPr>
    </w:p>
    <w:p w:rsidR="00412381" w:rsidRDefault="00412381" w:rsidP="00635369">
      <w:pPr>
        <w:jc w:val="both"/>
      </w:pPr>
    </w:p>
    <w:sectPr w:rsidR="00412381" w:rsidSect="00432DF5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6E" w:rsidRDefault="0098236E" w:rsidP="004A23EE">
      <w:pPr>
        <w:spacing w:after="0" w:line="240" w:lineRule="auto"/>
      </w:pPr>
      <w:r>
        <w:separator/>
      </w:r>
    </w:p>
  </w:endnote>
  <w:endnote w:type="continuationSeparator" w:id="0">
    <w:p w:rsidR="0098236E" w:rsidRDefault="0098236E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4229"/>
      <w:docPartObj>
        <w:docPartGallery w:val="Page Numbers (Bottom of Page)"/>
        <w:docPartUnique/>
      </w:docPartObj>
    </w:sdtPr>
    <w:sdtContent>
      <w:p w:rsidR="005D0333" w:rsidRDefault="00E242C8">
        <w:pPr>
          <w:pStyle w:val="Altbilgi"/>
          <w:jc w:val="right"/>
        </w:pPr>
        <w:fldSimple w:instr=" PAGE   \* MERGEFORMAT ">
          <w:r w:rsidR="00E564BF">
            <w:rPr>
              <w:noProof/>
            </w:rPr>
            <w:t>2</w:t>
          </w:r>
        </w:fldSimple>
      </w:p>
    </w:sdtContent>
  </w:sdt>
  <w:p w:rsidR="005D0333" w:rsidRDefault="005D03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6E" w:rsidRDefault="0098236E" w:rsidP="004A23EE">
      <w:pPr>
        <w:spacing w:after="0" w:line="240" w:lineRule="auto"/>
      </w:pPr>
      <w:r>
        <w:separator/>
      </w:r>
    </w:p>
  </w:footnote>
  <w:footnote w:type="continuationSeparator" w:id="0">
    <w:p w:rsidR="0098236E" w:rsidRDefault="0098236E" w:rsidP="004A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5198C"/>
    <w:rsid w:val="000576E3"/>
    <w:rsid w:val="000626FA"/>
    <w:rsid w:val="000701FD"/>
    <w:rsid w:val="00077DBA"/>
    <w:rsid w:val="000D18BE"/>
    <w:rsid w:val="000D1FAF"/>
    <w:rsid w:val="000D6E64"/>
    <w:rsid w:val="00137F02"/>
    <w:rsid w:val="0014312D"/>
    <w:rsid w:val="00146E16"/>
    <w:rsid w:val="0017350D"/>
    <w:rsid w:val="00190AA1"/>
    <w:rsid w:val="001A72FE"/>
    <w:rsid w:val="001C74C3"/>
    <w:rsid w:val="001E11A2"/>
    <w:rsid w:val="001E5A63"/>
    <w:rsid w:val="001F27E9"/>
    <w:rsid w:val="001F44D6"/>
    <w:rsid w:val="001F7633"/>
    <w:rsid w:val="00233BD5"/>
    <w:rsid w:val="00243F52"/>
    <w:rsid w:val="00251C0B"/>
    <w:rsid w:val="0027541E"/>
    <w:rsid w:val="002942B2"/>
    <w:rsid w:val="002963F9"/>
    <w:rsid w:val="002D3E19"/>
    <w:rsid w:val="002E5CBD"/>
    <w:rsid w:val="002F6455"/>
    <w:rsid w:val="00317D82"/>
    <w:rsid w:val="00357954"/>
    <w:rsid w:val="003641B3"/>
    <w:rsid w:val="003A57CB"/>
    <w:rsid w:val="003B0E20"/>
    <w:rsid w:val="003F191A"/>
    <w:rsid w:val="00412381"/>
    <w:rsid w:val="00432DF5"/>
    <w:rsid w:val="00465103"/>
    <w:rsid w:val="00475179"/>
    <w:rsid w:val="004A23EE"/>
    <w:rsid w:val="004B45B3"/>
    <w:rsid w:val="004D33D2"/>
    <w:rsid w:val="004E1F2F"/>
    <w:rsid w:val="004F2F8F"/>
    <w:rsid w:val="0051262B"/>
    <w:rsid w:val="00537A36"/>
    <w:rsid w:val="005405F5"/>
    <w:rsid w:val="00555E6D"/>
    <w:rsid w:val="0055668B"/>
    <w:rsid w:val="00574C38"/>
    <w:rsid w:val="00591547"/>
    <w:rsid w:val="005B25D6"/>
    <w:rsid w:val="005C53F8"/>
    <w:rsid w:val="005D0333"/>
    <w:rsid w:val="005F76E5"/>
    <w:rsid w:val="006020BD"/>
    <w:rsid w:val="00623919"/>
    <w:rsid w:val="00627A46"/>
    <w:rsid w:val="00635369"/>
    <w:rsid w:val="0067515A"/>
    <w:rsid w:val="00695016"/>
    <w:rsid w:val="006A687D"/>
    <w:rsid w:val="006D41B5"/>
    <w:rsid w:val="006E689E"/>
    <w:rsid w:val="0070186C"/>
    <w:rsid w:val="00723CD4"/>
    <w:rsid w:val="00731B2B"/>
    <w:rsid w:val="007330A1"/>
    <w:rsid w:val="007441EB"/>
    <w:rsid w:val="007443E0"/>
    <w:rsid w:val="00771314"/>
    <w:rsid w:val="007736BE"/>
    <w:rsid w:val="00776CB6"/>
    <w:rsid w:val="007D79D8"/>
    <w:rsid w:val="007E2645"/>
    <w:rsid w:val="008353AE"/>
    <w:rsid w:val="00837CA0"/>
    <w:rsid w:val="00873254"/>
    <w:rsid w:val="008820EB"/>
    <w:rsid w:val="00882AC1"/>
    <w:rsid w:val="008C2C15"/>
    <w:rsid w:val="008D1077"/>
    <w:rsid w:val="00911741"/>
    <w:rsid w:val="00917F91"/>
    <w:rsid w:val="00941B6D"/>
    <w:rsid w:val="009805F0"/>
    <w:rsid w:val="0098236E"/>
    <w:rsid w:val="009C0D2A"/>
    <w:rsid w:val="009E51C6"/>
    <w:rsid w:val="009F54F1"/>
    <w:rsid w:val="00A3231D"/>
    <w:rsid w:val="00A51EF0"/>
    <w:rsid w:val="00A666BD"/>
    <w:rsid w:val="00A77365"/>
    <w:rsid w:val="00A814BE"/>
    <w:rsid w:val="00AD2065"/>
    <w:rsid w:val="00AE3004"/>
    <w:rsid w:val="00B33D14"/>
    <w:rsid w:val="00B80B7E"/>
    <w:rsid w:val="00B8612E"/>
    <w:rsid w:val="00B95D44"/>
    <w:rsid w:val="00BC294E"/>
    <w:rsid w:val="00BC5F10"/>
    <w:rsid w:val="00BD41E2"/>
    <w:rsid w:val="00BE5D6A"/>
    <w:rsid w:val="00BE6822"/>
    <w:rsid w:val="00BF3E70"/>
    <w:rsid w:val="00C01555"/>
    <w:rsid w:val="00C04B02"/>
    <w:rsid w:val="00C144CC"/>
    <w:rsid w:val="00C21D8B"/>
    <w:rsid w:val="00C61B29"/>
    <w:rsid w:val="00CB41EA"/>
    <w:rsid w:val="00CC7D5F"/>
    <w:rsid w:val="00CE0156"/>
    <w:rsid w:val="00D2299D"/>
    <w:rsid w:val="00D23355"/>
    <w:rsid w:val="00D43D43"/>
    <w:rsid w:val="00D76048"/>
    <w:rsid w:val="00D875DB"/>
    <w:rsid w:val="00DC5FDC"/>
    <w:rsid w:val="00DE7934"/>
    <w:rsid w:val="00E242C8"/>
    <w:rsid w:val="00E564BF"/>
    <w:rsid w:val="00E82CF4"/>
    <w:rsid w:val="00EB586D"/>
    <w:rsid w:val="00EC070C"/>
    <w:rsid w:val="00ED28D3"/>
    <w:rsid w:val="00EF4E45"/>
    <w:rsid w:val="00F11810"/>
    <w:rsid w:val="00F60556"/>
    <w:rsid w:val="00F82FEE"/>
    <w:rsid w:val="00F916BE"/>
    <w:rsid w:val="00FB3D75"/>
    <w:rsid w:val="00F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bar"/>
        <c:grouping val="clustered"/>
        <c:ser>
          <c:idx val="0"/>
          <c:order val="0"/>
          <c:cat>
            <c:strRef>
              <c:f>Sayfa1!$B$73:$B$82</c:f>
              <c:strCache>
                <c:ptCount val="10"/>
                <c:pt idx="0">
                  <c:v>KAYSERİ</c:v>
                </c:pt>
                <c:pt idx="1">
                  <c:v>MERSİN</c:v>
                </c:pt>
                <c:pt idx="2">
                  <c:v>GAZİANTEP</c:v>
                </c:pt>
                <c:pt idx="3">
                  <c:v>KOCAELİ</c:v>
                </c:pt>
                <c:pt idx="4">
                  <c:v>KONYA</c:v>
                </c:pt>
                <c:pt idx="5">
                  <c:v>BURSA</c:v>
                </c:pt>
                <c:pt idx="6">
                  <c:v>ANTALYA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Sayfa1!$C$73:$C$82</c:f>
              <c:numCache>
                <c:formatCode>#,##0</c:formatCode>
                <c:ptCount val="10"/>
                <c:pt idx="0">
                  <c:v>2056</c:v>
                </c:pt>
                <c:pt idx="1">
                  <c:v>2316</c:v>
                </c:pt>
                <c:pt idx="2">
                  <c:v>2350</c:v>
                </c:pt>
                <c:pt idx="3">
                  <c:v>2552</c:v>
                </c:pt>
                <c:pt idx="4">
                  <c:v>2730</c:v>
                </c:pt>
                <c:pt idx="5">
                  <c:v>3260</c:v>
                </c:pt>
                <c:pt idx="6">
                  <c:v>5740</c:v>
                </c:pt>
                <c:pt idx="7">
                  <c:v>6963</c:v>
                </c:pt>
                <c:pt idx="8">
                  <c:v>10570</c:v>
                </c:pt>
                <c:pt idx="9">
                  <c:v>49901</c:v>
                </c:pt>
              </c:numCache>
            </c:numRef>
          </c:val>
        </c:ser>
        <c:dLbls>
          <c:showVal val="1"/>
        </c:dLbls>
        <c:axId val="134507520"/>
        <c:axId val="134483968"/>
      </c:barChart>
      <c:catAx>
        <c:axId val="134507520"/>
        <c:scaling>
          <c:orientation val="minMax"/>
        </c:scaling>
        <c:axPos val="l"/>
        <c:tickLblPos val="nextTo"/>
        <c:crossAx val="134483968"/>
        <c:crosses val="autoZero"/>
        <c:auto val="1"/>
        <c:lblAlgn val="ctr"/>
        <c:lblOffset val="100"/>
      </c:catAx>
      <c:valAx>
        <c:axId val="134483968"/>
        <c:scaling>
          <c:orientation val="minMax"/>
        </c:scaling>
        <c:delete val="1"/>
        <c:axPos val="b"/>
        <c:numFmt formatCode="#,##0" sourceLinked="1"/>
        <c:tickLblPos val="none"/>
        <c:crossAx val="1345075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bar"/>
        <c:grouping val="clustered"/>
        <c:ser>
          <c:idx val="0"/>
          <c:order val="0"/>
          <c:cat>
            <c:strRef>
              <c:f>Sayfa1!$E$73:$E$82</c:f>
              <c:strCache>
                <c:ptCount val="10"/>
                <c:pt idx="0">
                  <c:v>MUĞLA</c:v>
                </c:pt>
                <c:pt idx="1">
                  <c:v>KONYA</c:v>
                </c:pt>
                <c:pt idx="2">
                  <c:v>BALIKESİR</c:v>
                </c:pt>
                <c:pt idx="3">
                  <c:v>AYDIN</c:v>
                </c:pt>
                <c:pt idx="4">
                  <c:v>ADANA</c:v>
                </c:pt>
                <c:pt idx="5">
                  <c:v>BURSA</c:v>
                </c:pt>
                <c:pt idx="6">
                  <c:v>ANTALYA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Sayfa1!$F$73:$F$82</c:f>
              <c:numCache>
                <c:formatCode>#,##0</c:formatCode>
                <c:ptCount val="10"/>
                <c:pt idx="0">
                  <c:v>634</c:v>
                </c:pt>
                <c:pt idx="1">
                  <c:v>664</c:v>
                </c:pt>
                <c:pt idx="2">
                  <c:v>682</c:v>
                </c:pt>
                <c:pt idx="3">
                  <c:v>786</c:v>
                </c:pt>
                <c:pt idx="4">
                  <c:v>787</c:v>
                </c:pt>
                <c:pt idx="5">
                  <c:v>962</c:v>
                </c:pt>
                <c:pt idx="6">
                  <c:v>1537</c:v>
                </c:pt>
                <c:pt idx="7">
                  <c:v>1922</c:v>
                </c:pt>
                <c:pt idx="8">
                  <c:v>3616</c:v>
                </c:pt>
                <c:pt idx="9">
                  <c:v>13619</c:v>
                </c:pt>
              </c:numCache>
            </c:numRef>
          </c:val>
        </c:ser>
        <c:dLbls>
          <c:showVal val="1"/>
        </c:dLbls>
        <c:axId val="134512000"/>
        <c:axId val="134534272"/>
      </c:barChart>
      <c:catAx>
        <c:axId val="134512000"/>
        <c:scaling>
          <c:orientation val="minMax"/>
        </c:scaling>
        <c:axPos val="l"/>
        <c:tickLblPos val="nextTo"/>
        <c:crossAx val="134534272"/>
        <c:crosses val="autoZero"/>
        <c:auto val="1"/>
        <c:lblAlgn val="ctr"/>
        <c:lblOffset val="100"/>
      </c:catAx>
      <c:valAx>
        <c:axId val="134534272"/>
        <c:scaling>
          <c:orientation val="minMax"/>
        </c:scaling>
        <c:delete val="1"/>
        <c:axPos val="b"/>
        <c:numFmt formatCode="#,##0" sourceLinked="1"/>
        <c:tickLblPos val="none"/>
        <c:crossAx val="1345120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bar"/>
        <c:grouping val="clustered"/>
        <c:ser>
          <c:idx val="0"/>
          <c:order val="0"/>
          <c:cat>
            <c:strRef>
              <c:f>Sayfa2!$A$73:$A$82</c:f>
              <c:strCache>
                <c:ptCount val="10"/>
                <c:pt idx="0">
                  <c:v>KARABÜK</c:v>
                </c:pt>
                <c:pt idx="1">
                  <c:v>OSMANİYE</c:v>
                </c:pt>
                <c:pt idx="2">
                  <c:v>DÜZCE</c:v>
                </c:pt>
                <c:pt idx="3">
                  <c:v>KARAMAN</c:v>
                </c:pt>
                <c:pt idx="4">
                  <c:v>KIRŞEHİR</c:v>
                </c:pt>
                <c:pt idx="5">
                  <c:v>KİLİS</c:v>
                </c:pt>
                <c:pt idx="6">
                  <c:v>BİNGÖL</c:v>
                </c:pt>
                <c:pt idx="7">
                  <c:v>KAYSERİ</c:v>
                </c:pt>
                <c:pt idx="8">
                  <c:v>KIRIKKALE</c:v>
                </c:pt>
                <c:pt idx="9">
                  <c:v>KARS</c:v>
                </c:pt>
              </c:strCache>
            </c:strRef>
          </c:cat>
          <c:val>
            <c:numRef>
              <c:f>Sayfa2!$B$73:$B$82</c:f>
              <c:numCache>
                <c:formatCode>0%</c:formatCode>
                <c:ptCount val="10"/>
                <c:pt idx="0">
                  <c:v>0.39719626168224309</c:v>
                </c:pt>
                <c:pt idx="1">
                  <c:v>0.43617021276595752</c:v>
                </c:pt>
                <c:pt idx="2">
                  <c:v>0.43722943722943736</c:v>
                </c:pt>
                <c:pt idx="3">
                  <c:v>0.46938775510204095</c:v>
                </c:pt>
                <c:pt idx="4">
                  <c:v>0.47008547008547014</c:v>
                </c:pt>
                <c:pt idx="5">
                  <c:v>0.48837209302325596</c:v>
                </c:pt>
                <c:pt idx="6">
                  <c:v>0.56034482758620685</c:v>
                </c:pt>
                <c:pt idx="7">
                  <c:v>0.56468797564687989</c:v>
                </c:pt>
                <c:pt idx="8">
                  <c:v>0.69291338582677142</c:v>
                </c:pt>
                <c:pt idx="9">
                  <c:v>1.3636363636363635</c:v>
                </c:pt>
              </c:numCache>
            </c:numRef>
          </c:val>
        </c:ser>
        <c:dLbls>
          <c:showVal val="1"/>
        </c:dLbls>
        <c:axId val="134562560"/>
        <c:axId val="134564096"/>
      </c:barChart>
      <c:catAx>
        <c:axId val="134562560"/>
        <c:scaling>
          <c:orientation val="minMax"/>
        </c:scaling>
        <c:axPos val="l"/>
        <c:tickLblPos val="nextTo"/>
        <c:crossAx val="134564096"/>
        <c:crosses val="autoZero"/>
        <c:auto val="1"/>
        <c:lblAlgn val="ctr"/>
        <c:lblOffset val="100"/>
      </c:catAx>
      <c:valAx>
        <c:axId val="134564096"/>
        <c:scaling>
          <c:orientation val="minMax"/>
        </c:scaling>
        <c:delete val="1"/>
        <c:axPos val="b"/>
        <c:numFmt formatCode="0%" sourceLinked="1"/>
        <c:tickLblPos val="none"/>
        <c:crossAx val="1345625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bar"/>
        <c:grouping val="clustered"/>
        <c:ser>
          <c:idx val="0"/>
          <c:order val="0"/>
          <c:cat>
            <c:strRef>
              <c:f>Sayfa2!$E$73:$E$82</c:f>
              <c:strCache>
                <c:ptCount val="10"/>
                <c:pt idx="0">
                  <c:v>KARABÜK</c:v>
                </c:pt>
                <c:pt idx="1">
                  <c:v>ŞIRNAK</c:v>
                </c:pt>
                <c:pt idx="2">
                  <c:v>KÜTAHYA</c:v>
                </c:pt>
                <c:pt idx="3">
                  <c:v>KASTAMONU</c:v>
                </c:pt>
                <c:pt idx="4">
                  <c:v>GÜMÜŞHANE</c:v>
                </c:pt>
                <c:pt idx="5">
                  <c:v>MUŞ</c:v>
                </c:pt>
                <c:pt idx="6">
                  <c:v>IĞDIR</c:v>
                </c:pt>
                <c:pt idx="7">
                  <c:v>HAKKARİ</c:v>
                </c:pt>
                <c:pt idx="8">
                  <c:v>TUNCELİ</c:v>
                </c:pt>
                <c:pt idx="9">
                  <c:v>BİTLİS</c:v>
                </c:pt>
              </c:strCache>
            </c:strRef>
          </c:cat>
          <c:val>
            <c:numRef>
              <c:f>Sayfa2!$F$73:$F$82</c:f>
              <c:numCache>
                <c:formatCode>0%</c:formatCode>
                <c:ptCount val="10"/>
                <c:pt idx="0">
                  <c:v>0.61538461538461553</c:v>
                </c:pt>
                <c:pt idx="1">
                  <c:v>0.6428571428571429</c:v>
                </c:pt>
                <c:pt idx="2">
                  <c:v>0.65060240963855442</c:v>
                </c:pt>
                <c:pt idx="3">
                  <c:v>0.65555555555555578</c:v>
                </c:pt>
                <c:pt idx="4">
                  <c:v>0.69565217391304357</c:v>
                </c:pt>
                <c:pt idx="5">
                  <c:v>0.7567567567567568</c:v>
                </c:pt>
                <c:pt idx="6">
                  <c:v>0.79591836734693866</c:v>
                </c:pt>
                <c:pt idx="7">
                  <c:v>1.6800000000000002</c:v>
                </c:pt>
                <c:pt idx="8">
                  <c:v>2</c:v>
                </c:pt>
                <c:pt idx="9">
                  <c:v>3.304347826086957</c:v>
                </c:pt>
              </c:numCache>
            </c:numRef>
          </c:val>
        </c:ser>
        <c:dLbls>
          <c:showVal val="1"/>
        </c:dLbls>
        <c:axId val="134604672"/>
        <c:axId val="134606208"/>
      </c:barChart>
      <c:catAx>
        <c:axId val="134604672"/>
        <c:scaling>
          <c:orientation val="minMax"/>
        </c:scaling>
        <c:axPos val="l"/>
        <c:tickLblPos val="nextTo"/>
        <c:crossAx val="134606208"/>
        <c:crosses val="autoZero"/>
        <c:auto val="1"/>
        <c:lblAlgn val="ctr"/>
        <c:lblOffset val="100"/>
      </c:catAx>
      <c:valAx>
        <c:axId val="134606208"/>
        <c:scaling>
          <c:orientation val="minMax"/>
        </c:scaling>
        <c:delete val="1"/>
        <c:axPos val="b"/>
        <c:numFmt formatCode="0%" sourceLinked="1"/>
        <c:tickLblPos val="none"/>
        <c:crossAx val="1346046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2FC3-7715-496F-A2FC-BC8A48E8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ToshibaR10</cp:lastModifiedBy>
  <cp:revision>2</cp:revision>
  <cp:lastPrinted>2015-01-22T09:03:00Z</cp:lastPrinted>
  <dcterms:created xsi:type="dcterms:W3CDTF">2015-01-22T12:09:00Z</dcterms:created>
  <dcterms:modified xsi:type="dcterms:W3CDTF">2015-01-22T12:09:00Z</dcterms:modified>
</cp:coreProperties>
</file>