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63"/>
        <w:gridCol w:w="4236"/>
      </w:tblGrid>
      <w:tr w:rsidR="00AD2065" w:rsidTr="00396C07">
        <w:trPr>
          <w:trHeight w:val="915"/>
        </w:trPr>
        <w:tc>
          <w:tcPr>
            <w:tcW w:w="5644" w:type="dxa"/>
            <w:vAlign w:val="center"/>
          </w:tcPr>
          <w:p w:rsidR="00907E0D" w:rsidRDefault="00AD2065"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E6746">
              <w:rPr>
                <w:rFonts w:asciiTheme="majorHAnsi" w:eastAsiaTheme="majorEastAsia" w:hAnsiTheme="majorHAnsi" w:cstheme="majorBidi"/>
                <w:sz w:val="36"/>
                <w:szCs w:val="36"/>
              </w:rPr>
              <w:t>Kasım</w:t>
            </w:r>
            <w:r>
              <w:rPr>
                <w:rFonts w:asciiTheme="majorHAnsi" w:eastAsiaTheme="majorEastAsia" w:hAnsiTheme="majorHAnsi" w:cstheme="majorBidi"/>
                <w:sz w:val="36"/>
                <w:szCs w:val="36"/>
              </w:rPr>
              <w:t xml:space="preserve"> </w:t>
            </w:r>
          </w:p>
          <w:p w:rsidR="00AD2065" w:rsidRDefault="007B58E6"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SANAYİ ÜRETİM ENDEKSİ</w:t>
            </w:r>
          </w:p>
        </w:tc>
        <w:tc>
          <w:tcPr>
            <w:tcW w:w="4678" w:type="dxa"/>
          </w:tcPr>
          <w:p w:rsidR="00AD2065" w:rsidRDefault="00FE2D1A" w:rsidP="007E674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8</w:t>
            </w:r>
            <w:r w:rsidR="00BC294E">
              <w:rPr>
                <w:rFonts w:asciiTheme="majorHAnsi" w:eastAsiaTheme="majorEastAsia" w:hAnsiTheme="majorHAnsi" w:cstheme="majorBidi"/>
                <w:bCs/>
                <w:sz w:val="28"/>
                <w:szCs w:val="36"/>
              </w:rPr>
              <w:t xml:space="preserve"> </w:t>
            </w:r>
            <w:r w:rsidR="007E6746">
              <w:rPr>
                <w:rFonts w:asciiTheme="majorHAnsi" w:eastAsiaTheme="majorEastAsia" w:hAnsiTheme="majorHAnsi" w:cstheme="majorBidi"/>
                <w:bCs/>
                <w:sz w:val="28"/>
                <w:szCs w:val="36"/>
              </w:rPr>
              <w:t>Ocak 2015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7E6746" w:rsidP="00AD2065">
      <w:pPr>
        <w:rPr>
          <w:b/>
        </w:rPr>
      </w:pPr>
      <w:r>
        <w:rPr>
          <w:b/>
        </w:rPr>
        <w:t xml:space="preserve">Kasım </w:t>
      </w:r>
      <w:r w:rsidR="00EF4E45" w:rsidRPr="00EF4E45">
        <w:rPr>
          <w:b/>
        </w:rPr>
        <w:t xml:space="preserve">2014 </w:t>
      </w:r>
      <w:r w:rsidR="007B58E6">
        <w:rPr>
          <w:b/>
        </w:rPr>
        <w:t>Sanayi Üretim Endeksi’ne</w:t>
      </w:r>
      <w:r w:rsidR="00EF4E45" w:rsidRPr="00EF4E45">
        <w:rPr>
          <w:b/>
        </w:rPr>
        <w:t xml:space="preserve"> ilişkin veriler Türkiye İstat</w:t>
      </w:r>
      <w:r w:rsidR="007441EB">
        <w:rPr>
          <w:b/>
        </w:rPr>
        <w:t xml:space="preserve">istik Kurumu (TÜİK) tarafından </w:t>
      </w:r>
      <w:r w:rsidR="00FE2D1A">
        <w:rPr>
          <w:b/>
        </w:rPr>
        <w:t>8</w:t>
      </w:r>
      <w:r w:rsidR="00EF4E45" w:rsidRPr="00EF4E45">
        <w:rPr>
          <w:b/>
        </w:rPr>
        <w:t xml:space="preserve"> </w:t>
      </w:r>
      <w:r>
        <w:rPr>
          <w:b/>
        </w:rPr>
        <w:t>Ocak</w:t>
      </w:r>
      <w:r w:rsidR="00FE2D1A">
        <w:rPr>
          <w:b/>
        </w:rPr>
        <w:t xml:space="preserve"> </w:t>
      </w:r>
      <w:r>
        <w:rPr>
          <w:b/>
        </w:rPr>
        <w:t>2015</w:t>
      </w:r>
      <w:r w:rsidR="00EF4E45" w:rsidRPr="00EF4E45">
        <w:rPr>
          <w:b/>
        </w:rPr>
        <w:t xml:space="preserve"> tarihinde yayımlandı.</w:t>
      </w:r>
    </w:p>
    <w:p w:rsidR="00DF5145" w:rsidRDefault="00EF4E45" w:rsidP="00EF4E45">
      <w:r>
        <w:t xml:space="preserve">TÜİK tarafından aylık yayımlanan </w:t>
      </w:r>
      <w:r w:rsidR="007B58E6" w:rsidRPr="007B58E6">
        <w:t>Sanayi Üretim Endeksi</w:t>
      </w:r>
      <w:r>
        <w:t>,</w:t>
      </w:r>
      <w:r w:rsidR="007B58E6">
        <w:t xml:space="preserve"> Türkiye’deki sanayi kuruluşlarının toplam üretiminin</w:t>
      </w:r>
      <w:r>
        <w:t xml:space="preserve"> zaman içindeki değişim</w:t>
      </w:r>
      <w:r w:rsidR="007B58E6">
        <w:t>i</w:t>
      </w:r>
      <w:r>
        <w:t xml:space="preserve"> hakkında bilgi vermektedir.</w:t>
      </w:r>
      <w:r w:rsidR="00522A6C" w:rsidRPr="00C04441">
        <w:rPr>
          <w:rStyle w:val="DipnotBavurusu"/>
        </w:rPr>
        <w:footnoteReference w:id="1"/>
      </w:r>
    </w:p>
    <w:p w:rsidR="0043515F" w:rsidRDefault="0043515F" w:rsidP="00FD0F6A">
      <w:pPr>
        <w:jc w:val="both"/>
        <w:outlineLvl w:val="1"/>
        <w:rPr>
          <w:rFonts w:eastAsia="Times New Roman" w:cs="Times New Roman"/>
          <w:b/>
          <w:bCs/>
          <w:kern w:val="36"/>
          <w:sz w:val="24"/>
          <w:szCs w:val="24"/>
        </w:rPr>
      </w:pPr>
      <w:r>
        <w:rPr>
          <w:rFonts w:eastAsia="Times New Roman" w:cs="Times New Roman"/>
          <w:b/>
          <w:bCs/>
          <w:kern w:val="36"/>
          <w:sz w:val="24"/>
          <w:szCs w:val="24"/>
        </w:rPr>
        <w:t xml:space="preserve">Şekil 1: </w:t>
      </w:r>
      <w:r w:rsidR="00FD0F6A">
        <w:rPr>
          <w:rFonts w:eastAsia="Times New Roman" w:cs="Times New Roman"/>
          <w:b/>
          <w:bCs/>
          <w:kern w:val="36"/>
          <w:sz w:val="24"/>
          <w:szCs w:val="24"/>
        </w:rPr>
        <w:t xml:space="preserve">Aylara göre </w:t>
      </w:r>
      <w:r w:rsidR="00FD0F6A" w:rsidRPr="006D330B">
        <w:rPr>
          <w:rFonts w:eastAsia="Times New Roman" w:cs="Times New Roman"/>
          <w:b/>
          <w:bCs/>
          <w:kern w:val="36"/>
          <w:sz w:val="24"/>
          <w:szCs w:val="24"/>
        </w:rPr>
        <w:t>sanayi üretim endeksi</w:t>
      </w:r>
      <w:r w:rsidR="00FD0F6A">
        <w:rPr>
          <w:rFonts w:eastAsia="Times New Roman" w:cs="Times New Roman"/>
          <w:b/>
          <w:bCs/>
          <w:kern w:val="36"/>
          <w:sz w:val="24"/>
          <w:szCs w:val="24"/>
        </w:rPr>
        <w:t xml:space="preserve"> </w:t>
      </w:r>
    </w:p>
    <w:p w:rsidR="00FD0F6A" w:rsidRPr="006D330B" w:rsidRDefault="00FD0F6A" w:rsidP="0043515F">
      <w:pPr>
        <w:ind w:firstLine="720"/>
        <w:jc w:val="both"/>
        <w:outlineLvl w:val="1"/>
        <w:rPr>
          <w:rFonts w:eastAsia="Times New Roman" w:cs="Times New Roman"/>
          <w:b/>
          <w:bCs/>
          <w:kern w:val="36"/>
          <w:sz w:val="24"/>
          <w:szCs w:val="24"/>
        </w:rPr>
      </w:pPr>
      <w:r>
        <w:rPr>
          <w:rFonts w:eastAsia="Times New Roman" w:cs="Times New Roman"/>
          <w:b/>
          <w:bCs/>
          <w:kern w:val="36"/>
          <w:sz w:val="24"/>
          <w:szCs w:val="24"/>
        </w:rPr>
        <w:t>(mevsim ve takvim etkilerinden arındırılmış, 2010=100)</w:t>
      </w:r>
    </w:p>
    <w:p w:rsidR="00FD0F6A" w:rsidRDefault="00FE2D1A" w:rsidP="00FD0F6A">
      <w:pPr>
        <w:jc w:val="both"/>
        <w:outlineLvl w:val="1"/>
        <w:rPr>
          <w:rFonts w:eastAsia="Times New Roman" w:cs="Times New Roman"/>
          <w:b/>
          <w:bCs/>
          <w:kern w:val="36"/>
          <w:sz w:val="28"/>
          <w:szCs w:val="24"/>
        </w:rPr>
      </w:pPr>
      <w:r w:rsidRPr="00FE2D1A">
        <w:rPr>
          <w:rFonts w:eastAsia="Times New Roman" w:cs="Times New Roman"/>
          <w:b/>
          <w:bCs/>
          <w:noProof/>
          <w:kern w:val="36"/>
          <w:sz w:val="28"/>
          <w:szCs w:val="24"/>
        </w:rPr>
        <w:drawing>
          <wp:inline distT="0" distB="0" distL="0" distR="0">
            <wp:extent cx="5972810" cy="2435225"/>
            <wp:effectExtent l="0" t="0" r="0"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44CC" w:rsidRPr="00FE2D1A" w:rsidRDefault="007E6746" w:rsidP="00C144CC">
      <w:pPr>
        <w:jc w:val="both"/>
      </w:pPr>
      <w:r>
        <w:t>Kasım</w:t>
      </w:r>
      <w:r w:rsidR="00574C38" w:rsidRPr="00C144CC">
        <w:t xml:space="preserve"> ayında Türkiye (TR) </w:t>
      </w:r>
      <w:r w:rsidR="00574C38" w:rsidRPr="00C04441">
        <w:t xml:space="preserve">Geneli </w:t>
      </w:r>
      <w:r w:rsidR="007B58E6" w:rsidRPr="00C04441">
        <w:t>Sanayi Üretim Endeksi</w:t>
      </w:r>
      <w:r w:rsidR="00574C38" w:rsidRPr="00C04441">
        <w:t xml:space="preserve"> </w:t>
      </w:r>
      <w:r w:rsidR="00574C38" w:rsidRPr="00FD0F6A">
        <w:rPr>
          <w:b/>
          <w:u w:val="single"/>
        </w:rPr>
        <w:t>bir önceki aya (</w:t>
      </w:r>
      <w:r>
        <w:rPr>
          <w:b/>
          <w:u w:val="single"/>
        </w:rPr>
        <w:t>Ekim</w:t>
      </w:r>
      <w:r w:rsidR="00574C38" w:rsidRPr="00FD0F6A">
        <w:rPr>
          <w:b/>
          <w:u w:val="single"/>
        </w:rPr>
        <w:t xml:space="preserve"> 2014) göre</w:t>
      </w:r>
      <w:r w:rsidR="00574C38" w:rsidRPr="00C04441">
        <w:t xml:space="preserve"> yüzde </w:t>
      </w:r>
      <w:r>
        <w:t>0,1</w:t>
      </w:r>
      <w:r w:rsidR="00FD0F6A">
        <w:t xml:space="preserve"> </w:t>
      </w:r>
      <w:r w:rsidR="00FE2D1A">
        <w:t xml:space="preserve">düşüş </w:t>
      </w:r>
      <w:r w:rsidR="00FD0F6A" w:rsidRPr="00FE2D1A">
        <w:t>göstermiştir</w:t>
      </w:r>
      <w:r w:rsidR="00574C38" w:rsidRPr="00FE2D1A">
        <w:t xml:space="preserve">. </w:t>
      </w:r>
      <w:r>
        <w:t>Kasım</w:t>
      </w:r>
      <w:r w:rsidR="00574C38" w:rsidRPr="00FE2D1A">
        <w:t xml:space="preserve"> (2014) ayında</w:t>
      </w:r>
      <w:r>
        <w:t>ki düşüşün kaynaklarına bakıldığında imalat sanayindeki bir önceki aya göre yaşanmış olan yüzde 0,3’lük düşüşün etkili olduğu görülmektedir. Buna karşılık madencilik ve taşocakçılığı</w:t>
      </w:r>
      <w:r w:rsidR="0003703C">
        <w:t>nda</w:t>
      </w:r>
      <w:r>
        <w:t xml:space="preserve"> yüzde 0,8’lik</w:t>
      </w:r>
      <w:r w:rsidR="0003703C">
        <w:t xml:space="preserve">, elektrik, gaz buharı ve iklimlendirme üretimi ve dağımı sektöründe ise yüzde 0,5’lik artış yaşanmıştır. </w:t>
      </w:r>
    </w:p>
    <w:p w:rsidR="007B58E6" w:rsidRPr="00FE2D1A" w:rsidRDefault="00C04441" w:rsidP="007B58E6">
      <w:pPr>
        <w:jc w:val="both"/>
      </w:pPr>
      <w:r w:rsidRPr="00FE2D1A">
        <w:t>Ana sanayi gruplarına</w:t>
      </w:r>
      <w:r w:rsidR="007B58E6" w:rsidRPr="00FE2D1A">
        <w:t xml:space="preserve"> bakıldığında </w:t>
      </w:r>
      <w:r w:rsidR="0003703C">
        <w:t>toplam sanayi endeksindeki düşüşte</w:t>
      </w:r>
      <w:r w:rsidR="007B58E6" w:rsidRPr="00FE2D1A">
        <w:t xml:space="preserve"> dayanıklı tüketim </w:t>
      </w:r>
      <w:r w:rsidRPr="00FE2D1A">
        <w:t xml:space="preserve">ve </w:t>
      </w:r>
      <w:r w:rsidR="00FE2D1A" w:rsidRPr="00FE2D1A">
        <w:t>sermaye</w:t>
      </w:r>
      <w:r w:rsidRPr="00FE2D1A">
        <w:t xml:space="preserve"> </w:t>
      </w:r>
      <w:r w:rsidR="007B58E6" w:rsidRPr="00FE2D1A">
        <w:t xml:space="preserve">mallarındaki </w:t>
      </w:r>
      <w:r w:rsidR="00FE2D1A" w:rsidRPr="00FE2D1A">
        <w:t>düşüşün</w:t>
      </w:r>
      <w:r w:rsidR="007B58E6" w:rsidRPr="00FE2D1A">
        <w:t xml:space="preserve"> etkisi oldu</w:t>
      </w:r>
      <w:r w:rsidR="00FD0F6A" w:rsidRPr="00FE2D1A">
        <w:t>ğu görülmektedir</w:t>
      </w:r>
      <w:r w:rsidR="0003703C">
        <w:t xml:space="preserve"> (sırasıyla yüzde 2 ve yüzde 1,5’lik düşüşler)</w:t>
      </w:r>
      <w:r w:rsidR="007B58E6" w:rsidRPr="00FE2D1A">
        <w:t>.</w:t>
      </w:r>
    </w:p>
    <w:p w:rsidR="00517288" w:rsidRPr="00FE2D1A" w:rsidRDefault="00517288" w:rsidP="00517288">
      <w:pPr>
        <w:jc w:val="both"/>
        <w:rPr>
          <w:highlight w:val="yellow"/>
        </w:rPr>
      </w:pPr>
      <w:r w:rsidRPr="00FE2D1A">
        <w:t xml:space="preserve">İmalat sanayinin alt sektörlerinde geçen aya göre </w:t>
      </w:r>
      <w:r w:rsidR="00923FD3" w:rsidRPr="00FE2D1A">
        <w:t xml:space="preserve">en fazla </w:t>
      </w:r>
      <w:r w:rsidR="00FE2D1A" w:rsidRPr="00FE2D1A">
        <w:t>düşüş</w:t>
      </w:r>
      <w:r w:rsidR="00923FD3" w:rsidRPr="00FE2D1A">
        <w:t xml:space="preserve"> diğer ulaşım araçlarının imalatı (%</w:t>
      </w:r>
      <w:r w:rsidR="00D72BD4">
        <w:t>21,9</w:t>
      </w:r>
      <w:r w:rsidR="00923FD3" w:rsidRPr="00FE2D1A">
        <w:t>) sektöründe gerçekleşti. Bunu,</w:t>
      </w:r>
      <w:r w:rsidR="00FE2D1A" w:rsidRPr="00FE2D1A">
        <w:t xml:space="preserve"> %</w:t>
      </w:r>
      <w:r w:rsidR="00D72BD4">
        <w:t>7,6</w:t>
      </w:r>
      <w:r w:rsidR="00923FD3" w:rsidRPr="00FE2D1A">
        <w:t xml:space="preserve"> ile</w:t>
      </w:r>
      <w:r w:rsidR="00FE2D1A" w:rsidRPr="00FE2D1A">
        <w:t xml:space="preserve"> </w:t>
      </w:r>
      <w:r w:rsidR="00D72BD4">
        <w:t>temel eczacılık ürünlerinin ve eczacılığa ilişkin malzemelerin imalatı ve</w:t>
      </w:r>
      <w:r w:rsidR="00923FD3" w:rsidRPr="00FE2D1A">
        <w:t xml:space="preserve"> %</w:t>
      </w:r>
      <w:r w:rsidR="00D72BD4">
        <w:t>6,3</w:t>
      </w:r>
      <w:r w:rsidR="00923FD3" w:rsidRPr="00FE2D1A">
        <w:t xml:space="preserve"> ile </w:t>
      </w:r>
      <w:r w:rsidR="00D72BD4">
        <w:t>mobilya imalatı</w:t>
      </w:r>
      <w:r w:rsidR="00FE2D1A" w:rsidRPr="00FE2D1A">
        <w:t xml:space="preserve"> </w:t>
      </w:r>
      <w:r w:rsidR="00FD0F6A" w:rsidRPr="00FE2D1A">
        <w:t>takip etmiştir</w:t>
      </w:r>
      <w:r w:rsidR="00923FD3" w:rsidRPr="00FE2D1A">
        <w:t xml:space="preserve">. Bu sürede en hızlı </w:t>
      </w:r>
      <w:r w:rsidR="00FE2D1A" w:rsidRPr="00FE2D1A">
        <w:t>yükseliş</w:t>
      </w:r>
      <w:r w:rsidR="00923FD3" w:rsidRPr="00FE2D1A">
        <w:t xml:space="preserve"> ise </w:t>
      </w:r>
      <w:r w:rsidR="00D72BD4">
        <w:t>%10,1</w:t>
      </w:r>
      <w:r w:rsidR="00FE2D1A" w:rsidRPr="00FE2D1A">
        <w:t xml:space="preserve"> ile </w:t>
      </w:r>
      <w:r w:rsidR="00D72BD4">
        <w:t>kayıtlı medyanın basılması ve çoğaltılmasında</w:t>
      </w:r>
      <w:r w:rsidR="00FE2D1A" w:rsidRPr="00756492">
        <w:t xml:space="preserve"> </w:t>
      </w:r>
      <w:r w:rsidR="00FD0F6A" w:rsidRPr="00756492">
        <w:t>gerçekleşmiştir</w:t>
      </w:r>
      <w:r w:rsidRPr="00756492">
        <w:t xml:space="preserve">. </w:t>
      </w:r>
    </w:p>
    <w:p w:rsidR="00160C8F" w:rsidRPr="00756492" w:rsidRDefault="00160C8F" w:rsidP="00160C8F">
      <w:pPr>
        <w:jc w:val="both"/>
      </w:pPr>
      <w:r w:rsidRPr="00756492">
        <w:lastRenderedPageBreak/>
        <w:t xml:space="preserve">Endeks </w:t>
      </w:r>
      <w:r w:rsidRPr="00756492">
        <w:rPr>
          <w:b/>
          <w:u w:val="single"/>
        </w:rPr>
        <w:t>bir önceki yılın aynı ayına göre</w:t>
      </w:r>
      <w:r w:rsidRPr="00756492">
        <w:t xml:space="preserve"> yüzde </w:t>
      </w:r>
      <w:r w:rsidR="00D72BD4">
        <w:t>0,7</w:t>
      </w:r>
      <w:r w:rsidRPr="00756492">
        <w:t xml:space="preserve"> oranında </w:t>
      </w:r>
      <w:r w:rsidR="00756492">
        <w:t xml:space="preserve">artış </w:t>
      </w:r>
      <w:r w:rsidRPr="00756492">
        <w:t xml:space="preserve">göstermiştir. </w:t>
      </w:r>
      <w:r w:rsidR="00756492" w:rsidRPr="00756492">
        <w:t>Ekim</w:t>
      </w:r>
      <w:r w:rsidRPr="00756492">
        <w:t xml:space="preserve"> (2014) ayında önceki yıla göre ana sanayi </w:t>
      </w:r>
      <w:r w:rsidR="00C04441" w:rsidRPr="00756492">
        <w:t>sektörleri</w:t>
      </w:r>
      <w:r w:rsidRPr="00756492">
        <w:t xml:space="preserve"> itibariyle en yüksek artış yüzde </w:t>
      </w:r>
      <w:r w:rsidR="00756492" w:rsidRPr="00756492">
        <w:t>6</w:t>
      </w:r>
      <w:r w:rsidR="00C04441" w:rsidRPr="00756492">
        <w:t>,</w:t>
      </w:r>
      <w:r w:rsidR="00D72BD4">
        <w:t>3</w:t>
      </w:r>
      <w:r w:rsidRPr="00756492">
        <w:t xml:space="preserve"> ile </w:t>
      </w:r>
      <w:r w:rsidR="00C04441" w:rsidRPr="00756492">
        <w:t xml:space="preserve">madencilik ve taşocakçılığında </w:t>
      </w:r>
      <w:r w:rsidRPr="00756492">
        <w:t xml:space="preserve">yaşanırken, bunu yüzde </w:t>
      </w:r>
      <w:r w:rsidR="00D72BD4">
        <w:t>5’lik</w:t>
      </w:r>
      <w:r w:rsidRPr="00756492">
        <w:t xml:space="preserve"> artışla </w:t>
      </w:r>
      <w:r w:rsidR="00C04441" w:rsidRPr="00756492">
        <w:t>elektrik, gaz, buhar ve iklimlendirme üretimi ve dağıtımı</w:t>
      </w:r>
      <w:r w:rsidR="00D72BD4">
        <w:t xml:space="preserve"> takip etmiştir.</w:t>
      </w:r>
      <w:r w:rsidR="00C04441" w:rsidRPr="00756492">
        <w:t xml:space="preserve"> </w:t>
      </w:r>
      <w:r w:rsidR="00D72BD4">
        <w:t>İmalat sanayi endeksinde ise önceki yıla oranla yüzde 0,2’lik bir düşüş yaşanmıştır.</w:t>
      </w:r>
      <w:r w:rsidRPr="00756492">
        <w:t xml:space="preserve"> </w:t>
      </w:r>
    </w:p>
    <w:p w:rsidR="00160C8F" w:rsidRPr="004D5C8C" w:rsidRDefault="00C04441" w:rsidP="00160C8F">
      <w:pPr>
        <w:jc w:val="both"/>
      </w:pPr>
      <w:r w:rsidRPr="004D5C8C">
        <w:t>Ana sanayi gruplarına</w:t>
      </w:r>
      <w:r w:rsidR="00160C8F" w:rsidRPr="004D5C8C">
        <w:t xml:space="preserve"> bakıldığında</w:t>
      </w:r>
      <w:r w:rsidR="00D72BD4">
        <w:t>,</w:t>
      </w:r>
      <w:r w:rsidRPr="004D5C8C">
        <w:t xml:space="preserve"> </w:t>
      </w:r>
      <w:r w:rsidR="00D72BD4">
        <w:t>dayanıksız tüketim malı imalatı ile enerjide yüzde 5’lik artışa karşın ara malı imalatında yüzde 3’lük, dayanıklı tüketim malı imalatı ve sermaye imalatında ise sırasıyla yüzde 0,6 ve 0,4’lük azalış yaşandığı görülmektedir.</w:t>
      </w:r>
    </w:p>
    <w:p w:rsidR="0043515F" w:rsidRDefault="0043515F" w:rsidP="00FD0F6A">
      <w:pPr>
        <w:jc w:val="both"/>
        <w:outlineLvl w:val="1"/>
        <w:rPr>
          <w:rFonts w:eastAsia="Times New Roman" w:cs="Times New Roman"/>
          <w:b/>
          <w:bCs/>
          <w:kern w:val="36"/>
          <w:sz w:val="24"/>
          <w:szCs w:val="24"/>
        </w:rPr>
      </w:pPr>
      <w:r>
        <w:rPr>
          <w:rFonts w:eastAsia="Times New Roman" w:cs="Times New Roman"/>
          <w:b/>
          <w:bCs/>
          <w:kern w:val="36"/>
          <w:sz w:val="24"/>
          <w:szCs w:val="24"/>
        </w:rPr>
        <w:t xml:space="preserve">Şekil 2: </w:t>
      </w:r>
      <w:r w:rsidR="00FD0F6A" w:rsidRPr="004D5C8C">
        <w:rPr>
          <w:rFonts w:eastAsia="Times New Roman" w:cs="Times New Roman"/>
          <w:b/>
          <w:bCs/>
          <w:kern w:val="36"/>
          <w:sz w:val="24"/>
          <w:szCs w:val="24"/>
        </w:rPr>
        <w:t xml:space="preserve">Yıllara göre </w:t>
      </w:r>
      <w:r w:rsidR="00350144">
        <w:rPr>
          <w:rFonts w:eastAsia="Times New Roman" w:cs="Times New Roman"/>
          <w:b/>
          <w:bCs/>
          <w:kern w:val="36"/>
          <w:sz w:val="24"/>
          <w:szCs w:val="24"/>
        </w:rPr>
        <w:t>Kasım</w:t>
      </w:r>
      <w:r w:rsidR="00FD0F6A" w:rsidRPr="004D5C8C">
        <w:rPr>
          <w:rFonts w:eastAsia="Times New Roman" w:cs="Times New Roman"/>
          <w:b/>
          <w:bCs/>
          <w:kern w:val="36"/>
          <w:sz w:val="24"/>
          <w:szCs w:val="24"/>
        </w:rPr>
        <w:t xml:space="preserve"> ayları itibariyle sanayi üretim endeksi </w:t>
      </w:r>
    </w:p>
    <w:p w:rsidR="00FD0F6A" w:rsidRPr="004D5C8C" w:rsidRDefault="00FD0F6A" w:rsidP="0043515F">
      <w:pPr>
        <w:ind w:firstLine="720"/>
        <w:jc w:val="both"/>
        <w:outlineLvl w:val="1"/>
        <w:rPr>
          <w:rFonts w:eastAsia="Times New Roman" w:cs="Times New Roman"/>
          <w:b/>
          <w:bCs/>
          <w:kern w:val="36"/>
          <w:sz w:val="24"/>
          <w:szCs w:val="24"/>
        </w:rPr>
      </w:pPr>
      <w:r w:rsidRPr="004D5C8C">
        <w:rPr>
          <w:rFonts w:eastAsia="Times New Roman" w:cs="Times New Roman"/>
          <w:b/>
          <w:bCs/>
          <w:kern w:val="36"/>
          <w:sz w:val="24"/>
          <w:szCs w:val="24"/>
        </w:rPr>
        <w:t>(takvim etkisinden arındırılmış, 2010=100)</w:t>
      </w:r>
    </w:p>
    <w:p w:rsidR="00FD0F6A" w:rsidRPr="00FE2D1A" w:rsidRDefault="00350144" w:rsidP="00FD0F6A">
      <w:pPr>
        <w:jc w:val="both"/>
        <w:outlineLvl w:val="1"/>
        <w:rPr>
          <w:rFonts w:eastAsia="Times New Roman" w:cs="Times New Roman"/>
          <w:b/>
          <w:bCs/>
          <w:i/>
          <w:kern w:val="36"/>
          <w:sz w:val="28"/>
          <w:szCs w:val="24"/>
          <w:highlight w:val="yellow"/>
        </w:rPr>
      </w:pPr>
      <w:r w:rsidRPr="00350144">
        <w:rPr>
          <w:rFonts w:eastAsia="Times New Roman" w:cs="Times New Roman"/>
          <w:b/>
          <w:bCs/>
          <w:i/>
          <w:kern w:val="36"/>
          <w:sz w:val="28"/>
          <w:szCs w:val="24"/>
        </w:rPr>
        <w:drawing>
          <wp:inline distT="0" distB="0" distL="0" distR="0">
            <wp:extent cx="5543550" cy="2743200"/>
            <wp:effectExtent l="0" t="0" r="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oKlavuzu"/>
        <w:tblW w:w="0" w:type="auto"/>
        <w:tblLook w:val="04A0"/>
      </w:tblPr>
      <w:tblGrid>
        <w:gridCol w:w="4110"/>
        <w:gridCol w:w="2153"/>
        <w:gridCol w:w="2067"/>
      </w:tblGrid>
      <w:tr w:rsidR="00160C8F" w:rsidRPr="004D5C8C" w:rsidTr="00DB1389">
        <w:trPr>
          <w:trHeight w:val="264"/>
        </w:trPr>
        <w:tc>
          <w:tcPr>
            <w:tcW w:w="4110" w:type="dxa"/>
            <w:noWrap/>
            <w:hideMark/>
          </w:tcPr>
          <w:p w:rsidR="00160C8F" w:rsidRPr="004D5C8C" w:rsidRDefault="00160C8F" w:rsidP="00D72BD4">
            <w:pPr>
              <w:jc w:val="both"/>
            </w:pPr>
            <w:r w:rsidRPr="004D5C8C">
              <w:rPr>
                <w:b/>
              </w:rPr>
              <w:t xml:space="preserve">Tablo 1: Sanayi Üretim Endeksi Büyüme Oranları,  </w:t>
            </w:r>
            <w:r w:rsidR="00D72BD4">
              <w:rPr>
                <w:b/>
              </w:rPr>
              <w:t>Kasım</w:t>
            </w:r>
            <w:r w:rsidRPr="004D5C8C">
              <w:rPr>
                <w:b/>
              </w:rPr>
              <w:t xml:space="preserve"> 2014</w:t>
            </w:r>
            <w:r w:rsidRPr="004D5C8C">
              <w:t> </w:t>
            </w:r>
          </w:p>
        </w:tc>
        <w:tc>
          <w:tcPr>
            <w:tcW w:w="2153" w:type="dxa"/>
            <w:noWrap/>
            <w:hideMark/>
          </w:tcPr>
          <w:p w:rsidR="00160C8F" w:rsidRPr="004D5C8C" w:rsidRDefault="00160C8F" w:rsidP="00160C8F">
            <w:pPr>
              <w:jc w:val="both"/>
            </w:pPr>
            <w:r w:rsidRPr="004D5C8C">
              <w:t>Önceki Aya Göre</w:t>
            </w:r>
            <w:r w:rsidR="00923FD3" w:rsidRPr="004D5C8C">
              <w:t xml:space="preserve"> (%)</w:t>
            </w:r>
          </w:p>
        </w:tc>
        <w:tc>
          <w:tcPr>
            <w:tcW w:w="2067" w:type="dxa"/>
            <w:noWrap/>
            <w:hideMark/>
          </w:tcPr>
          <w:p w:rsidR="00160C8F" w:rsidRPr="004D5C8C" w:rsidRDefault="00160C8F" w:rsidP="00160C8F">
            <w:pPr>
              <w:jc w:val="both"/>
            </w:pPr>
            <w:r w:rsidRPr="004D5C8C">
              <w:t>Önceki Yıla Göre</w:t>
            </w:r>
            <w:r w:rsidR="00923FD3" w:rsidRPr="004D5C8C">
              <w:t xml:space="preserve"> (%)</w:t>
            </w:r>
          </w:p>
        </w:tc>
      </w:tr>
      <w:tr w:rsidR="00D72BD4" w:rsidRPr="004D5C8C" w:rsidTr="00DB1389">
        <w:trPr>
          <w:trHeight w:val="264"/>
        </w:trPr>
        <w:tc>
          <w:tcPr>
            <w:tcW w:w="4110" w:type="dxa"/>
            <w:noWrap/>
            <w:hideMark/>
          </w:tcPr>
          <w:p w:rsidR="00D72BD4" w:rsidRPr="004D5C8C" w:rsidRDefault="00D72BD4" w:rsidP="00160C8F">
            <w:pPr>
              <w:jc w:val="both"/>
            </w:pPr>
            <w:r w:rsidRPr="004D5C8C">
              <w:t>Ara Malı</w:t>
            </w:r>
          </w:p>
        </w:tc>
        <w:tc>
          <w:tcPr>
            <w:tcW w:w="2153" w:type="dxa"/>
            <w:noWrap/>
            <w:hideMark/>
          </w:tcPr>
          <w:p w:rsidR="00D72BD4" w:rsidRPr="004D5C8C" w:rsidRDefault="00D72BD4" w:rsidP="004D5C8C">
            <w:pPr>
              <w:jc w:val="center"/>
            </w:pPr>
            <w:r>
              <w:t>-0,8</w:t>
            </w:r>
          </w:p>
        </w:tc>
        <w:tc>
          <w:tcPr>
            <w:tcW w:w="2067" w:type="dxa"/>
            <w:noWrap/>
            <w:hideMark/>
          </w:tcPr>
          <w:p w:rsidR="00D72BD4" w:rsidRPr="004D5C8C" w:rsidRDefault="00D72BD4" w:rsidP="00900F92">
            <w:pPr>
              <w:jc w:val="center"/>
            </w:pPr>
            <w:r>
              <w:t>-3,0</w:t>
            </w:r>
          </w:p>
        </w:tc>
      </w:tr>
      <w:tr w:rsidR="00D72BD4" w:rsidRPr="004D5C8C" w:rsidTr="00DB1389">
        <w:trPr>
          <w:trHeight w:val="264"/>
        </w:trPr>
        <w:tc>
          <w:tcPr>
            <w:tcW w:w="4110" w:type="dxa"/>
            <w:noWrap/>
            <w:hideMark/>
          </w:tcPr>
          <w:p w:rsidR="00D72BD4" w:rsidRPr="004D5C8C" w:rsidRDefault="00D72BD4" w:rsidP="00160C8F">
            <w:pPr>
              <w:jc w:val="both"/>
            </w:pPr>
            <w:r w:rsidRPr="004D5C8C">
              <w:t>Dayanıklı Tüketim Malı</w:t>
            </w:r>
          </w:p>
        </w:tc>
        <w:tc>
          <w:tcPr>
            <w:tcW w:w="2153" w:type="dxa"/>
            <w:noWrap/>
            <w:hideMark/>
          </w:tcPr>
          <w:p w:rsidR="00D72BD4" w:rsidRPr="004D5C8C" w:rsidRDefault="00D72BD4" w:rsidP="004D5C8C">
            <w:pPr>
              <w:jc w:val="center"/>
            </w:pPr>
            <w:r>
              <w:t>-2,0</w:t>
            </w:r>
          </w:p>
        </w:tc>
        <w:tc>
          <w:tcPr>
            <w:tcW w:w="2067" w:type="dxa"/>
            <w:noWrap/>
            <w:hideMark/>
          </w:tcPr>
          <w:p w:rsidR="00D72BD4" w:rsidRPr="004D5C8C" w:rsidRDefault="00D72BD4" w:rsidP="00900F92">
            <w:pPr>
              <w:jc w:val="center"/>
            </w:pPr>
            <w:r>
              <w:t>-0,6</w:t>
            </w:r>
          </w:p>
        </w:tc>
      </w:tr>
      <w:tr w:rsidR="00D72BD4" w:rsidRPr="004D5C8C" w:rsidTr="00DB1389">
        <w:trPr>
          <w:trHeight w:val="264"/>
        </w:trPr>
        <w:tc>
          <w:tcPr>
            <w:tcW w:w="4110" w:type="dxa"/>
            <w:noWrap/>
            <w:hideMark/>
          </w:tcPr>
          <w:p w:rsidR="00D72BD4" w:rsidRPr="004D5C8C" w:rsidRDefault="00D72BD4" w:rsidP="00160C8F">
            <w:pPr>
              <w:jc w:val="both"/>
            </w:pPr>
            <w:r w:rsidRPr="004D5C8C">
              <w:t>Dayanıksız Tüketim Malı</w:t>
            </w:r>
          </w:p>
        </w:tc>
        <w:tc>
          <w:tcPr>
            <w:tcW w:w="2153" w:type="dxa"/>
            <w:noWrap/>
            <w:hideMark/>
          </w:tcPr>
          <w:p w:rsidR="00D72BD4" w:rsidRPr="004D5C8C" w:rsidRDefault="00D72BD4" w:rsidP="004D5C8C">
            <w:pPr>
              <w:jc w:val="center"/>
            </w:pPr>
            <w:r>
              <w:t>1,6</w:t>
            </w:r>
          </w:p>
        </w:tc>
        <w:tc>
          <w:tcPr>
            <w:tcW w:w="2067" w:type="dxa"/>
            <w:noWrap/>
            <w:hideMark/>
          </w:tcPr>
          <w:p w:rsidR="00D72BD4" w:rsidRPr="004D5C8C" w:rsidRDefault="00D72BD4" w:rsidP="00900F92">
            <w:pPr>
              <w:jc w:val="center"/>
            </w:pPr>
            <w:r>
              <w:t>5,0</w:t>
            </w:r>
          </w:p>
        </w:tc>
      </w:tr>
      <w:tr w:rsidR="00D72BD4" w:rsidRPr="004D5C8C" w:rsidTr="00DB1389">
        <w:trPr>
          <w:trHeight w:val="264"/>
        </w:trPr>
        <w:tc>
          <w:tcPr>
            <w:tcW w:w="4110" w:type="dxa"/>
            <w:noWrap/>
            <w:hideMark/>
          </w:tcPr>
          <w:p w:rsidR="00D72BD4" w:rsidRPr="004D5C8C" w:rsidRDefault="00D72BD4" w:rsidP="00160C8F">
            <w:pPr>
              <w:jc w:val="both"/>
            </w:pPr>
            <w:r w:rsidRPr="004D5C8C">
              <w:t>Enerji</w:t>
            </w:r>
          </w:p>
        </w:tc>
        <w:tc>
          <w:tcPr>
            <w:tcW w:w="2153" w:type="dxa"/>
            <w:noWrap/>
            <w:hideMark/>
          </w:tcPr>
          <w:p w:rsidR="00D72BD4" w:rsidRPr="004D5C8C" w:rsidRDefault="00D72BD4" w:rsidP="00D72BD4">
            <w:r>
              <w:t xml:space="preserve">                 0,8</w:t>
            </w:r>
          </w:p>
        </w:tc>
        <w:tc>
          <w:tcPr>
            <w:tcW w:w="2067" w:type="dxa"/>
            <w:noWrap/>
            <w:hideMark/>
          </w:tcPr>
          <w:p w:rsidR="00D72BD4" w:rsidRPr="004D5C8C" w:rsidRDefault="00D72BD4" w:rsidP="00900F92">
            <w:pPr>
              <w:jc w:val="center"/>
            </w:pPr>
            <w:r>
              <w:t>5,0</w:t>
            </w:r>
          </w:p>
        </w:tc>
      </w:tr>
      <w:tr w:rsidR="00D72BD4" w:rsidRPr="004D5C8C" w:rsidTr="00DB1389">
        <w:trPr>
          <w:trHeight w:val="264"/>
        </w:trPr>
        <w:tc>
          <w:tcPr>
            <w:tcW w:w="4110" w:type="dxa"/>
            <w:noWrap/>
            <w:hideMark/>
          </w:tcPr>
          <w:p w:rsidR="00D72BD4" w:rsidRPr="004D5C8C" w:rsidRDefault="00D72BD4" w:rsidP="00160C8F">
            <w:pPr>
              <w:jc w:val="both"/>
            </w:pPr>
            <w:r w:rsidRPr="004D5C8C">
              <w:t>Sermaye Malı</w:t>
            </w:r>
          </w:p>
        </w:tc>
        <w:tc>
          <w:tcPr>
            <w:tcW w:w="2153" w:type="dxa"/>
            <w:noWrap/>
            <w:hideMark/>
          </w:tcPr>
          <w:p w:rsidR="00D72BD4" w:rsidRPr="004D5C8C" w:rsidRDefault="00D72BD4" w:rsidP="00D72BD4">
            <w:pPr>
              <w:jc w:val="center"/>
            </w:pPr>
            <w:r>
              <w:t>-1,5</w:t>
            </w:r>
          </w:p>
        </w:tc>
        <w:tc>
          <w:tcPr>
            <w:tcW w:w="2067" w:type="dxa"/>
            <w:noWrap/>
            <w:hideMark/>
          </w:tcPr>
          <w:p w:rsidR="00D72BD4" w:rsidRPr="004D5C8C" w:rsidRDefault="00D72BD4" w:rsidP="00900F92">
            <w:pPr>
              <w:jc w:val="center"/>
            </w:pPr>
            <w:r>
              <w:t>-0,4</w:t>
            </w:r>
          </w:p>
        </w:tc>
      </w:tr>
      <w:tr w:rsidR="00D72BD4" w:rsidRPr="004D5C8C" w:rsidTr="00DB1389">
        <w:trPr>
          <w:trHeight w:val="264"/>
        </w:trPr>
        <w:tc>
          <w:tcPr>
            <w:tcW w:w="4110" w:type="dxa"/>
            <w:noWrap/>
            <w:hideMark/>
          </w:tcPr>
          <w:p w:rsidR="00D72BD4" w:rsidRPr="004D5C8C" w:rsidRDefault="00D72BD4" w:rsidP="00160C8F">
            <w:pPr>
              <w:jc w:val="both"/>
              <w:rPr>
                <w:b/>
              </w:rPr>
            </w:pPr>
            <w:r w:rsidRPr="004D5C8C">
              <w:rPr>
                <w:b/>
              </w:rPr>
              <w:t>TOPLAM</w:t>
            </w:r>
          </w:p>
        </w:tc>
        <w:tc>
          <w:tcPr>
            <w:tcW w:w="2153" w:type="dxa"/>
            <w:noWrap/>
            <w:hideMark/>
          </w:tcPr>
          <w:p w:rsidR="00D72BD4" w:rsidRPr="004D5C8C" w:rsidRDefault="00D72BD4" w:rsidP="004D5C8C">
            <w:pPr>
              <w:jc w:val="center"/>
              <w:rPr>
                <w:b/>
              </w:rPr>
            </w:pPr>
            <w:r>
              <w:rPr>
                <w:b/>
              </w:rPr>
              <w:t>-0,1</w:t>
            </w:r>
          </w:p>
        </w:tc>
        <w:tc>
          <w:tcPr>
            <w:tcW w:w="2067" w:type="dxa"/>
            <w:noWrap/>
            <w:hideMark/>
          </w:tcPr>
          <w:p w:rsidR="00D72BD4" w:rsidRPr="004D5C8C" w:rsidRDefault="00D72BD4" w:rsidP="00900F92">
            <w:pPr>
              <w:jc w:val="center"/>
              <w:rPr>
                <w:b/>
              </w:rPr>
            </w:pPr>
            <w:r>
              <w:rPr>
                <w:b/>
              </w:rPr>
              <w:t>0,7</w:t>
            </w:r>
          </w:p>
        </w:tc>
      </w:tr>
      <w:tr w:rsidR="0043515F" w:rsidRPr="004D5C8C" w:rsidTr="0043515F">
        <w:trPr>
          <w:trHeight w:val="264"/>
        </w:trPr>
        <w:tc>
          <w:tcPr>
            <w:tcW w:w="4110" w:type="dxa"/>
            <w:shd w:val="clear" w:color="auto" w:fill="7F7F7F" w:themeFill="text1" w:themeFillTint="80"/>
            <w:noWrap/>
            <w:hideMark/>
          </w:tcPr>
          <w:p w:rsidR="0043515F" w:rsidRPr="004D5C8C" w:rsidRDefault="0043515F" w:rsidP="004D5C8C">
            <w:pPr>
              <w:jc w:val="both"/>
              <w:rPr>
                <w:b/>
              </w:rPr>
            </w:pPr>
          </w:p>
        </w:tc>
        <w:tc>
          <w:tcPr>
            <w:tcW w:w="2153" w:type="dxa"/>
            <w:shd w:val="clear" w:color="auto" w:fill="7F7F7F" w:themeFill="text1" w:themeFillTint="80"/>
            <w:noWrap/>
            <w:hideMark/>
          </w:tcPr>
          <w:p w:rsidR="0043515F" w:rsidRPr="004D5C8C" w:rsidRDefault="0043515F" w:rsidP="00316F1D">
            <w:pPr>
              <w:jc w:val="both"/>
            </w:pPr>
          </w:p>
        </w:tc>
        <w:tc>
          <w:tcPr>
            <w:tcW w:w="2067" w:type="dxa"/>
            <w:shd w:val="clear" w:color="auto" w:fill="7F7F7F" w:themeFill="text1" w:themeFillTint="80"/>
            <w:noWrap/>
            <w:hideMark/>
          </w:tcPr>
          <w:p w:rsidR="0043515F" w:rsidRPr="004D5C8C" w:rsidRDefault="0043515F" w:rsidP="00316F1D">
            <w:pPr>
              <w:jc w:val="both"/>
            </w:pPr>
          </w:p>
        </w:tc>
      </w:tr>
      <w:tr w:rsidR="00160C8F" w:rsidRPr="004D5C8C" w:rsidTr="003F2715">
        <w:trPr>
          <w:trHeight w:val="264"/>
        </w:trPr>
        <w:tc>
          <w:tcPr>
            <w:tcW w:w="4110" w:type="dxa"/>
            <w:noWrap/>
            <w:hideMark/>
          </w:tcPr>
          <w:p w:rsidR="00160C8F" w:rsidRPr="004D5C8C" w:rsidRDefault="00160C8F" w:rsidP="00D72BD4">
            <w:pPr>
              <w:jc w:val="both"/>
            </w:pPr>
            <w:r w:rsidRPr="004D5C8C">
              <w:rPr>
                <w:b/>
              </w:rPr>
              <w:t xml:space="preserve">Tablo 2: Sanayi Üretim Endeksi </w:t>
            </w:r>
            <w:proofErr w:type="spellStart"/>
            <w:r w:rsidRPr="004D5C8C">
              <w:rPr>
                <w:b/>
              </w:rPr>
              <w:t>Sektörel</w:t>
            </w:r>
            <w:proofErr w:type="spellEnd"/>
            <w:r w:rsidRPr="004D5C8C">
              <w:rPr>
                <w:b/>
              </w:rPr>
              <w:t xml:space="preserve"> Büyüme Oranları, </w:t>
            </w:r>
            <w:r w:rsidR="00D72BD4">
              <w:rPr>
                <w:b/>
              </w:rPr>
              <w:t>Kasım</w:t>
            </w:r>
            <w:r w:rsidRPr="004D5C8C">
              <w:rPr>
                <w:b/>
              </w:rPr>
              <w:t xml:space="preserve"> 2014</w:t>
            </w:r>
            <w:r w:rsidRPr="004D5C8C">
              <w:t> </w:t>
            </w:r>
          </w:p>
        </w:tc>
        <w:tc>
          <w:tcPr>
            <w:tcW w:w="2153" w:type="dxa"/>
            <w:noWrap/>
            <w:hideMark/>
          </w:tcPr>
          <w:p w:rsidR="00160C8F" w:rsidRPr="004D5C8C" w:rsidRDefault="00160C8F" w:rsidP="00316F1D">
            <w:pPr>
              <w:jc w:val="both"/>
            </w:pPr>
            <w:r w:rsidRPr="004D5C8C">
              <w:t>Önceki Aya Göre</w:t>
            </w:r>
            <w:r w:rsidR="008A575D" w:rsidRPr="004D5C8C">
              <w:t xml:space="preserve"> (%)</w:t>
            </w:r>
          </w:p>
        </w:tc>
        <w:tc>
          <w:tcPr>
            <w:tcW w:w="2067" w:type="dxa"/>
            <w:noWrap/>
            <w:hideMark/>
          </w:tcPr>
          <w:p w:rsidR="00160C8F" w:rsidRPr="004D5C8C" w:rsidRDefault="00160C8F" w:rsidP="00316F1D">
            <w:pPr>
              <w:jc w:val="both"/>
            </w:pPr>
            <w:r w:rsidRPr="004D5C8C">
              <w:t>Önceki Yıla Göre</w:t>
            </w:r>
            <w:r w:rsidR="008A575D" w:rsidRPr="004D5C8C">
              <w:t xml:space="preserve"> (%)</w:t>
            </w:r>
          </w:p>
        </w:tc>
      </w:tr>
      <w:tr w:rsidR="00160C8F" w:rsidRPr="004D5C8C" w:rsidTr="003F2715">
        <w:trPr>
          <w:trHeight w:val="264"/>
        </w:trPr>
        <w:tc>
          <w:tcPr>
            <w:tcW w:w="4110" w:type="dxa"/>
            <w:noWrap/>
            <w:hideMark/>
          </w:tcPr>
          <w:p w:rsidR="00160C8F" w:rsidRPr="004D5C8C" w:rsidRDefault="00160C8F" w:rsidP="00160C8F">
            <w:r w:rsidRPr="004D5C8C">
              <w:t>Madencilik ve Taşocakçılığı</w:t>
            </w:r>
          </w:p>
        </w:tc>
        <w:tc>
          <w:tcPr>
            <w:tcW w:w="2153" w:type="dxa"/>
            <w:noWrap/>
            <w:hideMark/>
          </w:tcPr>
          <w:p w:rsidR="00160C8F" w:rsidRPr="004D5C8C" w:rsidRDefault="00D72BD4" w:rsidP="008A575D">
            <w:pPr>
              <w:jc w:val="center"/>
            </w:pPr>
            <w:r>
              <w:t>0,8</w:t>
            </w:r>
          </w:p>
        </w:tc>
        <w:tc>
          <w:tcPr>
            <w:tcW w:w="2067" w:type="dxa"/>
            <w:noWrap/>
            <w:hideMark/>
          </w:tcPr>
          <w:p w:rsidR="00160C8F" w:rsidRPr="004D5C8C" w:rsidRDefault="004D5C8C" w:rsidP="008A575D">
            <w:pPr>
              <w:jc w:val="center"/>
            </w:pPr>
            <w:r>
              <w:t>6</w:t>
            </w:r>
            <w:r w:rsidR="00424CC0" w:rsidRPr="004D5C8C">
              <w:t>,</w:t>
            </w:r>
            <w:r w:rsidR="00D72BD4">
              <w:t>3</w:t>
            </w:r>
          </w:p>
        </w:tc>
      </w:tr>
      <w:tr w:rsidR="00160C8F" w:rsidRPr="004D5C8C" w:rsidTr="003F2715">
        <w:trPr>
          <w:trHeight w:val="264"/>
        </w:trPr>
        <w:tc>
          <w:tcPr>
            <w:tcW w:w="4110" w:type="dxa"/>
            <w:noWrap/>
            <w:hideMark/>
          </w:tcPr>
          <w:p w:rsidR="00160C8F" w:rsidRPr="004D5C8C" w:rsidRDefault="00160C8F" w:rsidP="00160C8F">
            <w:pPr>
              <w:jc w:val="both"/>
            </w:pPr>
            <w:r w:rsidRPr="004D5C8C">
              <w:t>İmalat Sanayi</w:t>
            </w:r>
          </w:p>
        </w:tc>
        <w:tc>
          <w:tcPr>
            <w:tcW w:w="2153" w:type="dxa"/>
            <w:noWrap/>
            <w:hideMark/>
          </w:tcPr>
          <w:p w:rsidR="00160C8F" w:rsidRPr="004D5C8C" w:rsidRDefault="00D72BD4" w:rsidP="00D72BD4">
            <w:pPr>
              <w:jc w:val="center"/>
            </w:pPr>
            <w:r>
              <w:t>-0,3</w:t>
            </w:r>
          </w:p>
        </w:tc>
        <w:tc>
          <w:tcPr>
            <w:tcW w:w="2067" w:type="dxa"/>
            <w:noWrap/>
            <w:hideMark/>
          </w:tcPr>
          <w:p w:rsidR="00160C8F" w:rsidRPr="004D5C8C" w:rsidRDefault="00D72BD4" w:rsidP="004D5C8C">
            <w:pPr>
              <w:jc w:val="center"/>
            </w:pPr>
            <w:r>
              <w:t>-0,2</w:t>
            </w:r>
          </w:p>
        </w:tc>
      </w:tr>
      <w:tr w:rsidR="00160C8F" w:rsidRPr="004D5C8C" w:rsidTr="003F2715">
        <w:trPr>
          <w:trHeight w:val="264"/>
        </w:trPr>
        <w:tc>
          <w:tcPr>
            <w:tcW w:w="4110" w:type="dxa"/>
            <w:noWrap/>
            <w:hideMark/>
          </w:tcPr>
          <w:p w:rsidR="00160C8F" w:rsidRPr="004D5C8C" w:rsidRDefault="00160C8F" w:rsidP="00160C8F">
            <w:pPr>
              <w:jc w:val="both"/>
            </w:pPr>
            <w:r w:rsidRPr="004D5C8C">
              <w:t>Elektrik, Gaz, Buhar ve İklimlendirme Üretimi ve Dağıtımı</w:t>
            </w:r>
          </w:p>
        </w:tc>
        <w:tc>
          <w:tcPr>
            <w:tcW w:w="2153" w:type="dxa"/>
            <w:noWrap/>
            <w:hideMark/>
          </w:tcPr>
          <w:p w:rsidR="00160C8F" w:rsidRPr="004D5C8C" w:rsidRDefault="00D72BD4" w:rsidP="008A575D">
            <w:pPr>
              <w:jc w:val="center"/>
            </w:pPr>
            <w:r>
              <w:t>0,5</w:t>
            </w:r>
          </w:p>
        </w:tc>
        <w:tc>
          <w:tcPr>
            <w:tcW w:w="2067" w:type="dxa"/>
            <w:noWrap/>
            <w:hideMark/>
          </w:tcPr>
          <w:p w:rsidR="00160C8F" w:rsidRPr="004D5C8C" w:rsidRDefault="00D72BD4" w:rsidP="008A575D">
            <w:pPr>
              <w:jc w:val="center"/>
            </w:pPr>
            <w:r>
              <w:t>5,0</w:t>
            </w:r>
          </w:p>
        </w:tc>
      </w:tr>
      <w:tr w:rsidR="00160C8F" w:rsidRPr="00160C8F" w:rsidTr="003F2715">
        <w:trPr>
          <w:trHeight w:val="264"/>
        </w:trPr>
        <w:tc>
          <w:tcPr>
            <w:tcW w:w="4110" w:type="dxa"/>
            <w:noWrap/>
            <w:hideMark/>
          </w:tcPr>
          <w:p w:rsidR="00160C8F" w:rsidRPr="004D5C8C" w:rsidRDefault="00160C8F" w:rsidP="00316F1D">
            <w:pPr>
              <w:jc w:val="both"/>
              <w:rPr>
                <w:b/>
              </w:rPr>
            </w:pPr>
            <w:r w:rsidRPr="004D5C8C">
              <w:rPr>
                <w:b/>
              </w:rPr>
              <w:t>TOPLAM</w:t>
            </w:r>
          </w:p>
        </w:tc>
        <w:tc>
          <w:tcPr>
            <w:tcW w:w="2153" w:type="dxa"/>
            <w:noWrap/>
            <w:hideMark/>
          </w:tcPr>
          <w:p w:rsidR="00160C8F" w:rsidRPr="004D5C8C" w:rsidRDefault="00D72BD4" w:rsidP="004D5C8C">
            <w:pPr>
              <w:jc w:val="center"/>
              <w:rPr>
                <w:b/>
              </w:rPr>
            </w:pPr>
            <w:r>
              <w:rPr>
                <w:b/>
              </w:rPr>
              <w:t>-0,1</w:t>
            </w:r>
          </w:p>
        </w:tc>
        <w:tc>
          <w:tcPr>
            <w:tcW w:w="2067" w:type="dxa"/>
            <w:noWrap/>
            <w:hideMark/>
          </w:tcPr>
          <w:p w:rsidR="00160C8F" w:rsidRPr="00424CC0" w:rsidRDefault="00D72BD4" w:rsidP="008A575D">
            <w:pPr>
              <w:jc w:val="center"/>
              <w:rPr>
                <w:b/>
              </w:rPr>
            </w:pPr>
            <w:r>
              <w:rPr>
                <w:b/>
              </w:rPr>
              <w:t>0,7</w:t>
            </w:r>
          </w:p>
        </w:tc>
      </w:tr>
    </w:tbl>
    <w:p w:rsidR="00160C8F" w:rsidRDefault="00160C8F" w:rsidP="00FE2D1A">
      <w:pPr>
        <w:jc w:val="both"/>
      </w:pPr>
    </w:p>
    <w:sectPr w:rsidR="00160C8F"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C9" w:rsidRDefault="00407EC9" w:rsidP="00C04441">
      <w:pPr>
        <w:spacing w:after="0" w:line="240" w:lineRule="auto"/>
      </w:pPr>
      <w:r>
        <w:separator/>
      </w:r>
    </w:p>
  </w:endnote>
  <w:endnote w:type="continuationSeparator" w:id="0">
    <w:p w:rsidR="00407EC9" w:rsidRDefault="00407EC9" w:rsidP="00C0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C9" w:rsidRDefault="00407EC9" w:rsidP="00C04441">
      <w:pPr>
        <w:spacing w:after="0" w:line="240" w:lineRule="auto"/>
      </w:pPr>
      <w:r>
        <w:separator/>
      </w:r>
    </w:p>
  </w:footnote>
  <w:footnote w:type="continuationSeparator" w:id="0">
    <w:p w:rsidR="00407EC9" w:rsidRDefault="00407EC9" w:rsidP="00C04441">
      <w:pPr>
        <w:spacing w:after="0" w:line="240" w:lineRule="auto"/>
      </w:pPr>
      <w:r>
        <w:continuationSeparator/>
      </w:r>
    </w:p>
  </w:footnote>
  <w:footnote w:id="1">
    <w:p w:rsidR="00522A6C" w:rsidRDefault="00522A6C" w:rsidP="00522A6C">
      <w:pPr>
        <w:pStyle w:val="DipnotMetni"/>
      </w:pPr>
      <w:r>
        <w:rPr>
          <w:rStyle w:val="DipnotBavurusu"/>
        </w:rPr>
        <w:footnoteRef/>
      </w:r>
      <w:r>
        <w:t xml:space="preserve"> Bültende mevsim ve takvim etkilerinden arındırılmış veriler kullanılmaktadır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3703C"/>
    <w:rsid w:val="000701FD"/>
    <w:rsid w:val="000B7EA9"/>
    <w:rsid w:val="000D18BE"/>
    <w:rsid w:val="00112C0F"/>
    <w:rsid w:val="001243A0"/>
    <w:rsid w:val="00160C8F"/>
    <w:rsid w:val="001E11A2"/>
    <w:rsid w:val="001E5A63"/>
    <w:rsid w:val="001F7633"/>
    <w:rsid w:val="00233BD5"/>
    <w:rsid w:val="002B2CC6"/>
    <w:rsid w:val="002B53E4"/>
    <w:rsid w:val="002D3E19"/>
    <w:rsid w:val="00350144"/>
    <w:rsid w:val="00351561"/>
    <w:rsid w:val="00357954"/>
    <w:rsid w:val="003641B3"/>
    <w:rsid w:val="003A57CB"/>
    <w:rsid w:val="003F2715"/>
    <w:rsid w:val="00407EC9"/>
    <w:rsid w:val="00424CC0"/>
    <w:rsid w:val="00432DF5"/>
    <w:rsid w:val="0043515F"/>
    <w:rsid w:val="004D5C8C"/>
    <w:rsid w:val="00517288"/>
    <w:rsid w:val="00522A6C"/>
    <w:rsid w:val="005405F5"/>
    <w:rsid w:val="00544D61"/>
    <w:rsid w:val="00574C38"/>
    <w:rsid w:val="005C53F8"/>
    <w:rsid w:val="006020BD"/>
    <w:rsid w:val="00677B0D"/>
    <w:rsid w:val="006D41B5"/>
    <w:rsid w:val="0070186C"/>
    <w:rsid w:val="00731B2B"/>
    <w:rsid w:val="007330A1"/>
    <w:rsid w:val="007441EB"/>
    <w:rsid w:val="00756492"/>
    <w:rsid w:val="007700BF"/>
    <w:rsid w:val="007736BE"/>
    <w:rsid w:val="007A6AB2"/>
    <w:rsid w:val="007B58E6"/>
    <w:rsid w:val="007E6746"/>
    <w:rsid w:val="008A575D"/>
    <w:rsid w:val="008C2C15"/>
    <w:rsid w:val="008C7F9E"/>
    <w:rsid w:val="008D1077"/>
    <w:rsid w:val="00907E0D"/>
    <w:rsid w:val="00923FD3"/>
    <w:rsid w:val="00935B34"/>
    <w:rsid w:val="009A6E86"/>
    <w:rsid w:val="009F0A83"/>
    <w:rsid w:val="009F54F1"/>
    <w:rsid w:val="00A705F6"/>
    <w:rsid w:val="00A77365"/>
    <w:rsid w:val="00AD2065"/>
    <w:rsid w:val="00B94EA9"/>
    <w:rsid w:val="00BC294E"/>
    <w:rsid w:val="00BC5F10"/>
    <w:rsid w:val="00C04441"/>
    <w:rsid w:val="00C144CC"/>
    <w:rsid w:val="00C21D8B"/>
    <w:rsid w:val="00C97AFA"/>
    <w:rsid w:val="00CC7D5F"/>
    <w:rsid w:val="00D2299D"/>
    <w:rsid w:val="00D23355"/>
    <w:rsid w:val="00D72BD4"/>
    <w:rsid w:val="00DB1389"/>
    <w:rsid w:val="00DC5FDC"/>
    <w:rsid w:val="00DE7934"/>
    <w:rsid w:val="00EC4AA2"/>
    <w:rsid w:val="00EF4E45"/>
    <w:rsid w:val="00F061D6"/>
    <w:rsid w:val="00FD0F6A"/>
    <w:rsid w:val="00FE2D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0797386">
      <w:bodyDiv w:val="1"/>
      <w:marLeft w:val="0"/>
      <w:marRight w:val="0"/>
      <w:marTop w:val="0"/>
      <w:marBottom w:val="0"/>
      <w:divBdr>
        <w:top w:val="none" w:sz="0" w:space="0" w:color="auto"/>
        <w:left w:val="none" w:sz="0" w:space="0" w:color="auto"/>
        <w:bottom w:val="none" w:sz="0" w:space="0" w:color="auto"/>
        <w:right w:val="none" w:sz="0" w:space="0" w:color="auto"/>
      </w:divBdr>
    </w:div>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Microsoft%20Office%20Word'de%20Grafik"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6.0373398964993504E-2"/>
          <c:y val="5.6030183727034118E-2"/>
          <c:w val="0.92211055724489799"/>
          <c:h val="0.72613808690580361"/>
        </c:manualLayout>
      </c:layout>
      <c:lineChart>
        <c:grouping val="standard"/>
        <c:ser>
          <c:idx val="0"/>
          <c:order val="0"/>
          <c:tx>
            <c:strRef>
              <c:f>Sayfa1!$F$10</c:f>
              <c:strCache>
                <c:ptCount val="1"/>
                <c:pt idx="0">
                  <c:v>2013</c:v>
                </c:pt>
              </c:strCache>
            </c:strRef>
          </c:tx>
          <c:marker>
            <c:symbol val="none"/>
          </c:marker>
          <c:dLbls>
            <c:showVal val="1"/>
          </c:dLbls>
          <c:cat>
            <c:strRef>
              <c:f>Sayfa1!$G$9:$R$9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Sayfa1!$G$10:$R$10</c:f>
              <c:numCache>
                <c:formatCode>General</c:formatCode>
                <c:ptCount val="12"/>
                <c:pt idx="0">
                  <c:v>113</c:v>
                </c:pt>
                <c:pt idx="1">
                  <c:v>115.2</c:v>
                </c:pt>
                <c:pt idx="2">
                  <c:v>115</c:v>
                </c:pt>
                <c:pt idx="3">
                  <c:v>115.4</c:v>
                </c:pt>
                <c:pt idx="4">
                  <c:v>114.8</c:v>
                </c:pt>
                <c:pt idx="5">
                  <c:v>117.5</c:v>
                </c:pt>
                <c:pt idx="6">
                  <c:v>117.5</c:v>
                </c:pt>
                <c:pt idx="7">
                  <c:v>114.5</c:v>
                </c:pt>
                <c:pt idx="8">
                  <c:v>120.1</c:v>
                </c:pt>
                <c:pt idx="9">
                  <c:v>116.7</c:v>
                </c:pt>
                <c:pt idx="10">
                  <c:v>119.1</c:v>
                </c:pt>
                <c:pt idx="11">
                  <c:v>119.2</c:v>
                </c:pt>
              </c:numCache>
            </c:numRef>
          </c:val>
        </c:ser>
        <c:ser>
          <c:idx val="1"/>
          <c:order val="1"/>
          <c:tx>
            <c:strRef>
              <c:f>Sayfa1!$F$11</c:f>
              <c:strCache>
                <c:ptCount val="1"/>
                <c:pt idx="0">
                  <c:v>2014</c:v>
                </c:pt>
              </c:strCache>
            </c:strRef>
          </c:tx>
          <c:marker>
            <c:symbol val="none"/>
          </c:marker>
          <c:dLbls>
            <c:showVal val="1"/>
          </c:dLbls>
          <c:cat>
            <c:strRef>
              <c:f>Sayfa1!$G$9:$R$9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Sayfa1!$G$11:$R$11</c:f>
              <c:numCache>
                <c:formatCode>General</c:formatCode>
                <c:ptCount val="12"/>
                <c:pt idx="0">
                  <c:v>120.2</c:v>
                </c:pt>
                <c:pt idx="1">
                  <c:v>119.8</c:v>
                </c:pt>
                <c:pt idx="2">
                  <c:v>119.3</c:v>
                </c:pt>
                <c:pt idx="3">
                  <c:v>120.5</c:v>
                </c:pt>
                <c:pt idx="4">
                  <c:v>119.3</c:v>
                </c:pt>
                <c:pt idx="5">
                  <c:v>119.9</c:v>
                </c:pt>
                <c:pt idx="6">
                  <c:v>121.8</c:v>
                </c:pt>
                <c:pt idx="7">
                  <c:v>120.5</c:v>
                </c:pt>
                <c:pt idx="8">
                  <c:v>122.6</c:v>
                </c:pt>
                <c:pt idx="9">
                  <c:v>120.5</c:v>
                </c:pt>
                <c:pt idx="10">
                  <c:v>120.4</c:v>
                </c:pt>
              </c:numCache>
            </c:numRef>
          </c:val>
        </c:ser>
        <c:marker val="1"/>
        <c:axId val="107624704"/>
        <c:axId val="107659648"/>
      </c:lineChart>
      <c:catAx>
        <c:axId val="107624704"/>
        <c:scaling>
          <c:orientation val="minMax"/>
        </c:scaling>
        <c:axPos val="b"/>
        <c:tickLblPos val="nextTo"/>
        <c:crossAx val="107659648"/>
        <c:crosses val="autoZero"/>
        <c:auto val="1"/>
        <c:lblAlgn val="ctr"/>
        <c:lblOffset val="100"/>
      </c:catAx>
      <c:valAx>
        <c:axId val="107659648"/>
        <c:scaling>
          <c:orientation val="minMax"/>
          <c:min val="100"/>
        </c:scaling>
        <c:axPos val="l"/>
        <c:numFmt formatCode="General" sourceLinked="1"/>
        <c:tickLblPos val="nextTo"/>
        <c:crossAx val="107624704"/>
        <c:crosses val="autoZero"/>
        <c:crossBetween val="between"/>
      </c:valAx>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0.11550218722659669"/>
          <c:y val="0.19480351414406533"/>
          <c:w val="0.69510892388451462"/>
          <c:h val="0.68921660834062359"/>
        </c:manualLayout>
      </c:layout>
      <c:lineChart>
        <c:grouping val="standard"/>
        <c:ser>
          <c:idx val="0"/>
          <c:order val="0"/>
          <c:tx>
            <c:strRef>
              <c:f>'[Microsoft Office Word''de Grafik]Sayfa1'!$F$17</c:f>
              <c:strCache>
                <c:ptCount val="1"/>
                <c:pt idx="0">
                  <c:v>Kasım</c:v>
                </c:pt>
              </c:strCache>
            </c:strRef>
          </c:tx>
          <c:marker>
            <c:symbol val="none"/>
          </c:marker>
          <c:dLbls>
            <c:showVal val="1"/>
          </c:dLbls>
          <c:cat>
            <c:numRef>
              <c:f>'[Microsoft Office Word''de Grafik]Sayfa1'!$G$16:$J$16</c:f>
              <c:numCache>
                <c:formatCode>General</c:formatCode>
                <c:ptCount val="4"/>
                <c:pt idx="0">
                  <c:v>2011</c:v>
                </c:pt>
                <c:pt idx="1">
                  <c:v>2012</c:v>
                </c:pt>
                <c:pt idx="2">
                  <c:v>2013</c:v>
                </c:pt>
                <c:pt idx="3">
                  <c:v>2014</c:v>
                </c:pt>
              </c:numCache>
            </c:numRef>
          </c:cat>
          <c:val>
            <c:numRef>
              <c:f>'[Microsoft Office Word''de Grafik]Sayfa1'!$G$17:$J$17</c:f>
              <c:numCache>
                <c:formatCode>0.0</c:formatCode>
                <c:ptCount val="4"/>
                <c:pt idx="0">
                  <c:v>114.86619654090816</c:v>
                </c:pt>
                <c:pt idx="1">
                  <c:v>118.34172979140331</c:v>
                </c:pt>
                <c:pt idx="2">
                  <c:v>123.88566163411592</c:v>
                </c:pt>
                <c:pt idx="3">
                  <c:v>124.74289594530353</c:v>
                </c:pt>
              </c:numCache>
            </c:numRef>
          </c:val>
        </c:ser>
        <c:marker val="1"/>
        <c:axId val="157381760"/>
        <c:axId val="157866624"/>
      </c:lineChart>
      <c:catAx>
        <c:axId val="157381760"/>
        <c:scaling>
          <c:orientation val="minMax"/>
        </c:scaling>
        <c:axPos val="b"/>
        <c:numFmt formatCode="General" sourceLinked="1"/>
        <c:tickLblPos val="nextTo"/>
        <c:crossAx val="157866624"/>
        <c:crosses val="autoZero"/>
        <c:auto val="1"/>
        <c:lblAlgn val="ctr"/>
        <c:lblOffset val="100"/>
      </c:catAx>
      <c:valAx>
        <c:axId val="157866624"/>
        <c:scaling>
          <c:orientation val="minMax"/>
        </c:scaling>
        <c:axPos val="l"/>
        <c:numFmt formatCode="0" sourceLinked="0"/>
        <c:tickLblPos val="nextTo"/>
        <c:crossAx val="157381760"/>
        <c:crosses val="autoZero"/>
        <c:crossBetween val="between"/>
      </c:valAx>
    </c:plotArea>
    <c:plotVisOnly val="1"/>
  </c:chart>
  <c:spPr>
    <a:ln>
      <a:noFill/>
    </a:ln>
  </c:spPr>
  <c:txPr>
    <a:bodyPr/>
    <a:lstStyle/>
    <a:p>
      <a:pPr>
        <a:defRPr b="1"/>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A933C-A822-4929-A03E-E0876CB7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Pages>
  <Words>412</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3</cp:revision>
  <dcterms:created xsi:type="dcterms:W3CDTF">2015-01-08T15:57:00Z</dcterms:created>
  <dcterms:modified xsi:type="dcterms:W3CDTF">2015-01-09T07:50:00Z</dcterms:modified>
</cp:coreProperties>
</file>