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71"/>
        <w:gridCol w:w="4228"/>
      </w:tblGrid>
      <w:tr w:rsidR="00AD2065" w:rsidRPr="00591199" w:rsidTr="00D8766B">
        <w:trPr>
          <w:trHeight w:val="915"/>
        </w:trPr>
        <w:tc>
          <w:tcPr>
            <w:tcW w:w="5644" w:type="dxa"/>
            <w:vAlign w:val="center"/>
          </w:tcPr>
          <w:p w:rsidR="00907E0D" w:rsidRPr="00591199" w:rsidRDefault="004746B3" w:rsidP="007B58E6">
            <w:pPr>
              <w:pStyle w:val="stbilgi"/>
              <w:jc w:val="right"/>
              <w:rPr>
                <w:rFonts w:ascii="Times New Roman" w:eastAsiaTheme="majorEastAsia" w:hAnsi="Times New Roman" w:cs="Times New Roman"/>
                <w:sz w:val="36"/>
                <w:szCs w:val="36"/>
              </w:rPr>
            </w:pPr>
            <w:r w:rsidRPr="00591199">
              <w:rPr>
                <w:rFonts w:ascii="Times New Roman" w:eastAsiaTheme="majorEastAsia" w:hAnsi="Times New Roman" w:cs="Times New Roman"/>
                <w:sz w:val="36"/>
                <w:szCs w:val="36"/>
              </w:rPr>
              <w:t>2015</w:t>
            </w:r>
            <w:r w:rsidR="00AD2065" w:rsidRPr="00591199">
              <w:rPr>
                <w:rFonts w:ascii="Times New Roman" w:eastAsiaTheme="majorEastAsia" w:hAnsi="Times New Roman" w:cs="Times New Roman"/>
                <w:sz w:val="36"/>
                <w:szCs w:val="36"/>
              </w:rPr>
              <w:t xml:space="preserve"> </w:t>
            </w:r>
            <w:r w:rsidR="007E566D" w:rsidRPr="00591199">
              <w:rPr>
                <w:rFonts w:ascii="Times New Roman" w:eastAsiaTheme="majorEastAsia" w:hAnsi="Times New Roman" w:cs="Times New Roman"/>
                <w:sz w:val="36"/>
                <w:szCs w:val="36"/>
              </w:rPr>
              <w:t>MART</w:t>
            </w:r>
            <w:r w:rsidR="00AD2065" w:rsidRPr="00591199">
              <w:rPr>
                <w:rFonts w:ascii="Times New Roman" w:eastAsiaTheme="majorEastAsia" w:hAnsi="Times New Roman" w:cs="Times New Roman"/>
                <w:sz w:val="36"/>
                <w:szCs w:val="36"/>
              </w:rPr>
              <w:t xml:space="preserve"> </w:t>
            </w:r>
          </w:p>
          <w:p w:rsidR="00AD2065" w:rsidRPr="00591199" w:rsidRDefault="007B58E6" w:rsidP="007B58E6">
            <w:pPr>
              <w:pStyle w:val="stbilgi"/>
              <w:jc w:val="right"/>
              <w:rPr>
                <w:rFonts w:eastAsiaTheme="majorEastAsia" w:cstheme="majorBidi"/>
                <w:sz w:val="36"/>
                <w:szCs w:val="36"/>
              </w:rPr>
            </w:pPr>
            <w:r w:rsidRPr="00591199">
              <w:rPr>
                <w:rFonts w:ascii="Times New Roman" w:eastAsiaTheme="majorEastAsia" w:hAnsi="Times New Roman" w:cs="Times New Roman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Pr="00591199" w:rsidRDefault="007E566D" w:rsidP="007E566D">
            <w:pPr>
              <w:pStyle w:val="stbilgi"/>
              <w:spacing w:line="276" w:lineRule="auto"/>
              <w:jc w:val="center"/>
              <w:rPr>
                <w:rFonts w:eastAsiaTheme="majorEastAsia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591199">
              <w:rPr>
                <w:rFonts w:eastAsiaTheme="majorEastAsia" w:cstheme="majorBidi"/>
                <w:bCs/>
                <w:sz w:val="28"/>
                <w:szCs w:val="36"/>
              </w:rPr>
              <w:t>11</w:t>
            </w:r>
            <w:r w:rsidR="001A0C10" w:rsidRPr="00591199">
              <w:rPr>
                <w:rFonts w:eastAsiaTheme="majorEastAsia" w:cstheme="majorBidi"/>
                <w:bCs/>
                <w:sz w:val="28"/>
                <w:szCs w:val="36"/>
              </w:rPr>
              <w:t xml:space="preserve"> </w:t>
            </w:r>
            <w:r w:rsidRPr="00591199">
              <w:rPr>
                <w:rFonts w:eastAsiaTheme="majorEastAsia" w:cstheme="majorBidi"/>
                <w:bCs/>
                <w:sz w:val="28"/>
                <w:szCs w:val="36"/>
              </w:rPr>
              <w:t>Mayıs</w:t>
            </w:r>
            <w:r w:rsidR="003C6277" w:rsidRPr="00591199">
              <w:rPr>
                <w:rFonts w:eastAsiaTheme="majorEastAsia" w:cstheme="majorBidi"/>
                <w:bCs/>
                <w:sz w:val="28"/>
                <w:szCs w:val="36"/>
              </w:rPr>
              <w:t xml:space="preserve"> 2015</w:t>
            </w:r>
            <w:r w:rsidR="00AD2065" w:rsidRPr="00591199">
              <w:rPr>
                <w:rFonts w:eastAsiaTheme="majorEastAsia" w:cstheme="majorBidi"/>
                <w:bCs/>
                <w:sz w:val="28"/>
                <w:szCs w:val="36"/>
              </w:rPr>
              <w:t xml:space="preserve">  </w:t>
            </w:r>
            <w:r w:rsidR="00AD2065" w:rsidRPr="00591199">
              <w:rPr>
                <w:rFonts w:eastAsiaTheme="majorEastAsia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 w:rsidRPr="00591199">
              <w:rPr>
                <w:rFonts w:eastAsiaTheme="majorEastAsia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Pr="00591199" w:rsidRDefault="00AD2065" w:rsidP="00AD2065">
      <w:pPr>
        <w:pStyle w:val="stbilgi"/>
      </w:pPr>
    </w:p>
    <w:p w:rsidR="00AD2065" w:rsidRPr="00591199" w:rsidRDefault="007E566D" w:rsidP="00B43784">
      <w:pPr>
        <w:jc w:val="both"/>
        <w:rPr>
          <w:b/>
        </w:rPr>
      </w:pPr>
      <w:r w:rsidRPr="00591199">
        <w:rPr>
          <w:b/>
        </w:rPr>
        <w:t>Mart</w:t>
      </w:r>
      <w:r w:rsidR="00C50E17" w:rsidRPr="00591199">
        <w:rPr>
          <w:b/>
        </w:rPr>
        <w:t xml:space="preserve"> 2015</w:t>
      </w:r>
      <w:r w:rsidR="00EF4E45" w:rsidRPr="00591199">
        <w:rPr>
          <w:b/>
        </w:rPr>
        <w:t xml:space="preserve"> </w:t>
      </w:r>
      <w:r w:rsidR="007B58E6" w:rsidRPr="00591199">
        <w:rPr>
          <w:b/>
        </w:rPr>
        <w:t>Sanayi Üretim Endeksi’ne</w:t>
      </w:r>
      <w:r w:rsidR="00EF4E45" w:rsidRPr="00591199">
        <w:rPr>
          <w:b/>
        </w:rPr>
        <w:t xml:space="preserve"> ilişkin veriler Türkiye İstat</w:t>
      </w:r>
      <w:r w:rsidR="007441EB" w:rsidRPr="00591199">
        <w:rPr>
          <w:b/>
        </w:rPr>
        <w:t xml:space="preserve">istik Kurumu (TÜİK) tarafından </w:t>
      </w:r>
      <w:r w:rsidRPr="00591199">
        <w:rPr>
          <w:b/>
        </w:rPr>
        <w:t>8 Mayıs</w:t>
      </w:r>
      <w:r w:rsidR="001A0C10" w:rsidRPr="00591199">
        <w:rPr>
          <w:b/>
        </w:rPr>
        <w:t xml:space="preserve"> 2015</w:t>
      </w:r>
      <w:r w:rsidR="00EF4E45" w:rsidRPr="00591199">
        <w:rPr>
          <w:b/>
        </w:rPr>
        <w:t xml:space="preserve"> tarihinde yayımlandı.</w:t>
      </w:r>
    </w:p>
    <w:p w:rsidR="000D7AFB" w:rsidRPr="00591199" w:rsidRDefault="00EF4E45" w:rsidP="00EF4E45">
      <w:r w:rsidRPr="00591199">
        <w:t xml:space="preserve">TÜİK tarafından aylık yayımlanan </w:t>
      </w:r>
      <w:r w:rsidR="007B58E6" w:rsidRPr="00591199">
        <w:t>Sanayi Üretim Endeksi</w:t>
      </w:r>
      <w:r w:rsidRPr="00591199">
        <w:t>,</w:t>
      </w:r>
      <w:r w:rsidR="007B58E6" w:rsidRPr="00591199">
        <w:t xml:space="preserve"> Türkiye’deki sanayi kuruluşlarının toplam üretiminin</w:t>
      </w:r>
      <w:r w:rsidRPr="00591199">
        <w:t xml:space="preserve"> zaman içindeki değişim</w:t>
      </w:r>
      <w:r w:rsidR="007B58E6" w:rsidRPr="00591199">
        <w:t>i</w:t>
      </w:r>
      <w:r w:rsidRPr="00591199">
        <w:t xml:space="preserve"> hakkında bilgi vermektedir.</w:t>
      </w:r>
      <w:r w:rsidR="00522A6C" w:rsidRPr="00591199">
        <w:rPr>
          <w:rStyle w:val="DipnotBavurusu"/>
        </w:rPr>
        <w:footnoteReference w:id="1"/>
      </w:r>
    </w:p>
    <w:p w:rsidR="00FD0F6A" w:rsidRPr="00591199" w:rsidRDefault="0043515F" w:rsidP="005A464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 w:rsidRPr="00591199">
        <w:rPr>
          <w:rFonts w:eastAsia="Times New Roman" w:cs="Times New Roman"/>
          <w:b/>
          <w:bCs/>
          <w:kern w:val="36"/>
          <w:sz w:val="24"/>
          <w:szCs w:val="24"/>
        </w:rPr>
        <w:t>Aylara göre sanayi üretim endeksi</w:t>
      </w:r>
      <w:r w:rsidR="005A464C"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FD0F6A" w:rsidRPr="00591199">
        <w:rPr>
          <w:rFonts w:eastAsia="Times New Roman" w:cs="Times New Roman"/>
          <w:b/>
          <w:bCs/>
          <w:kern w:val="36"/>
          <w:sz w:val="24"/>
          <w:szCs w:val="24"/>
        </w:rPr>
        <w:t>(mevsim ve takvim etkilerinden arındırılmış, 2010=100)</w:t>
      </w:r>
    </w:p>
    <w:p w:rsidR="00443EC5" w:rsidRPr="00591199" w:rsidRDefault="00443EC5" w:rsidP="005A464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591199">
        <w:rPr>
          <w:rFonts w:eastAsia="Times New Roman" w:cs="Times New Roman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5953125" cy="2447925"/>
            <wp:effectExtent l="0" t="0" r="0" b="0"/>
            <wp:docPr id="3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54B2" w:rsidRPr="00591199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591199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591199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Pr="00591199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2A3E2F" w:rsidRPr="00591199" w:rsidRDefault="00FE68E8" w:rsidP="005A464C">
      <w:pPr>
        <w:spacing w:after="0" w:line="240" w:lineRule="auto"/>
        <w:jc w:val="both"/>
        <w:rPr>
          <w:color w:val="000000" w:themeColor="text1"/>
        </w:rPr>
      </w:pPr>
      <w:r w:rsidRPr="00591199">
        <w:rPr>
          <w:color w:val="000000" w:themeColor="text1"/>
        </w:rPr>
        <w:t>Mart</w:t>
      </w:r>
      <w:r w:rsidR="00A43C04" w:rsidRPr="00591199">
        <w:rPr>
          <w:color w:val="000000" w:themeColor="text1"/>
        </w:rPr>
        <w:t xml:space="preserve"> </w:t>
      </w:r>
      <w:r w:rsidR="00574C38" w:rsidRPr="00591199">
        <w:rPr>
          <w:color w:val="000000" w:themeColor="text1"/>
        </w:rPr>
        <w:t xml:space="preserve">ayında Türkiye (TR) Geneli </w:t>
      </w:r>
      <w:r w:rsidR="007B58E6" w:rsidRPr="00591199">
        <w:rPr>
          <w:color w:val="000000" w:themeColor="text1"/>
        </w:rPr>
        <w:t>Sanayi Üretim Endeksi</w:t>
      </w:r>
      <w:r w:rsidR="00574C38" w:rsidRPr="00591199">
        <w:rPr>
          <w:color w:val="000000" w:themeColor="text1"/>
        </w:rPr>
        <w:t xml:space="preserve"> </w:t>
      </w:r>
      <w:r w:rsidR="00574C38" w:rsidRPr="00591199">
        <w:rPr>
          <w:b/>
          <w:color w:val="000000" w:themeColor="text1"/>
          <w:u w:val="single"/>
        </w:rPr>
        <w:t>bir önceki aya (</w:t>
      </w:r>
      <w:r w:rsidRPr="00591199">
        <w:rPr>
          <w:b/>
          <w:color w:val="000000" w:themeColor="text1"/>
          <w:u w:val="single"/>
        </w:rPr>
        <w:t>Şubat</w:t>
      </w:r>
      <w:r w:rsidR="00C50E17" w:rsidRPr="00591199">
        <w:rPr>
          <w:b/>
          <w:color w:val="000000" w:themeColor="text1"/>
          <w:u w:val="single"/>
        </w:rPr>
        <w:t xml:space="preserve"> 2015</w:t>
      </w:r>
      <w:r w:rsidR="00574C38" w:rsidRPr="00591199">
        <w:rPr>
          <w:b/>
          <w:color w:val="000000" w:themeColor="text1"/>
          <w:u w:val="single"/>
        </w:rPr>
        <w:t xml:space="preserve">) </w:t>
      </w:r>
      <w:r w:rsidR="00574C38" w:rsidRPr="00591199">
        <w:rPr>
          <w:color w:val="000000" w:themeColor="text1"/>
          <w:u w:val="single"/>
        </w:rPr>
        <w:t>göre</w:t>
      </w:r>
      <w:r w:rsidR="00BE0133" w:rsidRPr="00591199">
        <w:rPr>
          <w:color w:val="000000" w:themeColor="text1"/>
          <w:u w:val="single"/>
        </w:rPr>
        <w:t xml:space="preserve"> artışa geçerek</w:t>
      </w:r>
      <w:r w:rsidR="00BE0133" w:rsidRPr="00591199">
        <w:rPr>
          <w:b/>
          <w:color w:val="000000" w:themeColor="text1"/>
          <w:u w:val="single"/>
        </w:rPr>
        <w:t xml:space="preserve"> </w:t>
      </w:r>
      <w:r w:rsidR="00BE0133" w:rsidRPr="00591199">
        <w:rPr>
          <w:color w:val="000000" w:themeColor="text1"/>
        </w:rPr>
        <w:t>yüzde</w:t>
      </w:r>
      <w:r w:rsidR="00574C38" w:rsidRPr="00591199">
        <w:rPr>
          <w:color w:val="000000" w:themeColor="text1"/>
        </w:rPr>
        <w:t xml:space="preserve"> </w:t>
      </w:r>
      <w:r w:rsidRPr="00591199">
        <w:rPr>
          <w:color w:val="000000" w:themeColor="text1"/>
        </w:rPr>
        <w:t>2,2</w:t>
      </w:r>
      <w:r w:rsidR="00FD0F6A" w:rsidRPr="00591199">
        <w:rPr>
          <w:color w:val="000000" w:themeColor="text1"/>
        </w:rPr>
        <w:t xml:space="preserve"> </w:t>
      </w:r>
      <w:r w:rsidR="00BE0133" w:rsidRPr="00591199">
        <w:rPr>
          <w:color w:val="000000" w:themeColor="text1"/>
        </w:rPr>
        <w:t>artış</w:t>
      </w:r>
      <w:r w:rsidR="00FE2D1A" w:rsidRPr="00591199">
        <w:rPr>
          <w:color w:val="000000" w:themeColor="text1"/>
        </w:rPr>
        <w:t xml:space="preserve"> </w:t>
      </w:r>
      <w:r w:rsidR="00FD0F6A" w:rsidRPr="00591199">
        <w:rPr>
          <w:color w:val="000000" w:themeColor="text1"/>
        </w:rPr>
        <w:t>göstermiştir</w:t>
      </w:r>
      <w:r w:rsidR="00BE0133" w:rsidRPr="00591199">
        <w:rPr>
          <w:color w:val="000000" w:themeColor="text1"/>
        </w:rPr>
        <w:t xml:space="preserve"> ve </w:t>
      </w:r>
      <w:r w:rsidRPr="00591199">
        <w:rPr>
          <w:color w:val="000000" w:themeColor="text1"/>
        </w:rPr>
        <w:t>124,8</w:t>
      </w:r>
      <w:r w:rsidR="00BE0133" w:rsidRPr="00591199">
        <w:rPr>
          <w:color w:val="000000" w:themeColor="text1"/>
        </w:rPr>
        <w:t xml:space="preserve"> değerini almıştır</w:t>
      </w:r>
      <w:r w:rsidR="00574C38" w:rsidRPr="00591199">
        <w:rPr>
          <w:color w:val="000000" w:themeColor="text1"/>
        </w:rPr>
        <w:t>.</w:t>
      </w:r>
      <w:r w:rsidR="0046529E" w:rsidRPr="00591199">
        <w:rPr>
          <w:color w:val="000000" w:themeColor="text1"/>
        </w:rPr>
        <w:t xml:space="preserve"> Endeks </w:t>
      </w:r>
      <w:r w:rsidRPr="00591199">
        <w:rPr>
          <w:color w:val="000000" w:themeColor="text1"/>
        </w:rPr>
        <w:t>124,8</w:t>
      </w:r>
      <w:r w:rsidR="0046529E" w:rsidRPr="00591199">
        <w:rPr>
          <w:color w:val="000000" w:themeColor="text1"/>
        </w:rPr>
        <w:t xml:space="preserve"> ile geçen senenin aynı ayında </w:t>
      </w:r>
      <w:r w:rsidRPr="00591199">
        <w:rPr>
          <w:color w:val="000000" w:themeColor="text1"/>
        </w:rPr>
        <w:t>119,2</w:t>
      </w:r>
      <w:r w:rsidR="0046529E" w:rsidRPr="00591199">
        <w:rPr>
          <w:color w:val="000000" w:themeColor="text1"/>
        </w:rPr>
        <w:t xml:space="preserve"> olan değerini de geçmiştir.</w:t>
      </w:r>
      <w:r w:rsidR="00574C38" w:rsidRPr="00591199">
        <w:rPr>
          <w:color w:val="000000" w:themeColor="text1"/>
        </w:rPr>
        <w:t xml:space="preserve"> </w:t>
      </w:r>
      <w:r w:rsidRPr="00591199">
        <w:rPr>
          <w:color w:val="000000" w:themeColor="text1"/>
        </w:rPr>
        <w:t>Mart</w:t>
      </w:r>
      <w:r w:rsidR="00CB4E90" w:rsidRPr="00591199">
        <w:rPr>
          <w:color w:val="000000" w:themeColor="text1"/>
        </w:rPr>
        <w:t xml:space="preserve"> (2015</w:t>
      </w:r>
      <w:r w:rsidR="00574C38" w:rsidRPr="00591199">
        <w:rPr>
          <w:color w:val="000000" w:themeColor="text1"/>
        </w:rPr>
        <w:t>) ayında</w:t>
      </w:r>
      <w:r w:rsidR="00351561" w:rsidRPr="00591199">
        <w:rPr>
          <w:color w:val="000000" w:themeColor="text1"/>
        </w:rPr>
        <w:t xml:space="preserve"> önceki aya göre</w:t>
      </w:r>
      <w:r w:rsidRPr="00591199">
        <w:rPr>
          <w:color w:val="000000" w:themeColor="text1"/>
        </w:rPr>
        <w:t xml:space="preserve"> </w:t>
      </w:r>
      <w:r w:rsidRPr="00591199">
        <w:rPr>
          <w:rFonts w:eastAsia="Times New Roman" w:cs="Times New Roman"/>
        </w:rPr>
        <w:t>Elektrik, Gaz, Buhar ve İklimlendirme Üretimi ve Dağıtımı</w:t>
      </w:r>
      <w:r w:rsidR="00574C38" w:rsidRPr="00591199">
        <w:rPr>
          <w:color w:val="000000" w:themeColor="text1"/>
        </w:rPr>
        <w:t xml:space="preserve"> ana </w:t>
      </w:r>
      <w:r w:rsidR="007B58E6" w:rsidRPr="00591199">
        <w:rPr>
          <w:color w:val="000000" w:themeColor="text1"/>
        </w:rPr>
        <w:t>sanayi</w:t>
      </w:r>
      <w:r w:rsidR="00574C38" w:rsidRPr="00591199">
        <w:rPr>
          <w:color w:val="000000" w:themeColor="text1"/>
        </w:rPr>
        <w:t xml:space="preserve"> </w:t>
      </w:r>
      <w:r w:rsidR="00C04441" w:rsidRPr="00591199">
        <w:rPr>
          <w:color w:val="000000" w:themeColor="text1"/>
        </w:rPr>
        <w:t>sektörleri</w:t>
      </w:r>
      <w:r w:rsidR="00574C38" w:rsidRPr="00591199">
        <w:rPr>
          <w:color w:val="000000" w:themeColor="text1"/>
        </w:rPr>
        <w:t xml:space="preserve"> itibariyle </w:t>
      </w:r>
      <w:r w:rsidR="00D95A87" w:rsidRPr="00591199">
        <w:rPr>
          <w:color w:val="000000" w:themeColor="text1"/>
        </w:rPr>
        <w:t xml:space="preserve">düşüş yaşanmamıştır. </w:t>
      </w:r>
      <w:r w:rsidR="000F5B97" w:rsidRPr="00591199">
        <w:rPr>
          <w:color w:val="000000" w:themeColor="text1"/>
        </w:rPr>
        <w:t xml:space="preserve">Düşüş sadece </w:t>
      </w:r>
      <w:r w:rsidR="000F5B97" w:rsidRPr="00591199">
        <w:rPr>
          <w:rFonts w:eastAsia="Times New Roman" w:cs="Times New Roman"/>
        </w:rPr>
        <w:t>Elektrik, Gaz, Buhar ve İklimlendirme Üretimi ve Dağıtımı</w:t>
      </w:r>
      <w:r w:rsidR="000F5B97" w:rsidRPr="00591199">
        <w:rPr>
          <w:color w:val="000000" w:themeColor="text1"/>
        </w:rPr>
        <w:t xml:space="preserve"> sektöründe bir önceki aya göre yaşandı. H</w:t>
      </w:r>
      <w:r w:rsidR="00D95A87" w:rsidRPr="00591199">
        <w:rPr>
          <w:color w:val="000000" w:themeColor="text1"/>
        </w:rPr>
        <w:t>em bir önceki ay hem de bir önceki yıla göre ana sanayi sektörlerinde düşüş yaşanmamıştır. E</w:t>
      </w:r>
      <w:r w:rsidR="00574C38" w:rsidRPr="00591199">
        <w:rPr>
          <w:color w:val="000000" w:themeColor="text1"/>
        </w:rPr>
        <w:t xml:space="preserve">n </w:t>
      </w:r>
      <w:r w:rsidR="000F5B97" w:rsidRPr="00591199">
        <w:rPr>
          <w:color w:val="000000" w:themeColor="text1"/>
        </w:rPr>
        <w:t>hızlı</w:t>
      </w:r>
      <w:r w:rsidR="00D95A87" w:rsidRPr="00591199">
        <w:rPr>
          <w:color w:val="000000" w:themeColor="text1"/>
        </w:rPr>
        <w:t xml:space="preserve"> artış</w:t>
      </w:r>
      <w:r w:rsidR="00574C38" w:rsidRPr="00591199">
        <w:rPr>
          <w:color w:val="000000" w:themeColor="text1"/>
        </w:rPr>
        <w:t xml:space="preserve"> yüzde </w:t>
      </w:r>
      <w:r w:rsidR="000F5B97" w:rsidRPr="00591199">
        <w:rPr>
          <w:color w:val="000000" w:themeColor="text1"/>
        </w:rPr>
        <w:t>5</w:t>
      </w:r>
      <w:r w:rsidR="00D95A87" w:rsidRPr="00591199">
        <w:rPr>
          <w:color w:val="000000" w:themeColor="text1"/>
        </w:rPr>
        <w:t>,3</w:t>
      </w:r>
      <w:r w:rsidR="00574C38" w:rsidRPr="00591199">
        <w:rPr>
          <w:color w:val="000000" w:themeColor="text1"/>
        </w:rPr>
        <w:t xml:space="preserve"> ile</w:t>
      </w:r>
      <w:r w:rsidR="007B58E6" w:rsidRPr="00591199">
        <w:rPr>
          <w:color w:val="000000" w:themeColor="text1"/>
        </w:rPr>
        <w:t xml:space="preserve"> </w:t>
      </w:r>
      <w:r w:rsidR="000F5B97" w:rsidRPr="00591199">
        <w:rPr>
          <w:rFonts w:eastAsia="Times New Roman" w:cs="Times New Roman"/>
        </w:rPr>
        <w:t>Madencilik ve Taşocakçılığı</w:t>
      </w:r>
      <w:r w:rsidR="000F5B97" w:rsidRPr="00591199">
        <w:rPr>
          <w:rFonts w:eastAsia="Times New Roman" w:cs="Times New Roman"/>
          <w:color w:val="000000" w:themeColor="text1"/>
        </w:rPr>
        <w:t xml:space="preserve"> </w:t>
      </w:r>
      <w:r w:rsidR="00D95A87" w:rsidRPr="00591199">
        <w:rPr>
          <w:rFonts w:eastAsia="Times New Roman" w:cs="Times New Roman"/>
          <w:color w:val="000000" w:themeColor="text1"/>
        </w:rPr>
        <w:t xml:space="preserve">üretiminde olmuştur. </w:t>
      </w:r>
      <w:r w:rsidR="00D95A87" w:rsidRPr="00591199">
        <w:rPr>
          <w:color w:val="000000" w:themeColor="text1"/>
        </w:rPr>
        <w:t>Bir önceki aya göre</w:t>
      </w:r>
      <w:r w:rsidR="000F5B97" w:rsidRPr="00591199">
        <w:rPr>
          <w:color w:val="000000" w:themeColor="text1"/>
        </w:rPr>
        <w:t xml:space="preserve"> de</w:t>
      </w:r>
      <w:r w:rsidR="00D95A87" w:rsidRPr="00591199">
        <w:rPr>
          <w:color w:val="000000" w:themeColor="text1"/>
        </w:rPr>
        <w:t xml:space="preserve"> en fazla artış ise yüzde </w:t>
      </w:r>
      <w:r w:rsidR="000F5B97" w:rsidRPr="00591199">
        <w:rPr>
          <w:color w:val="000000" w:themeColor="text1"/>
        </w:rPr>
        <w:t>3,1</w:t>
      </w:r>
      <w:r w:rsidR="00D95A87" w:rsidRPr="00591199">
        <w:rPr>
          <w:color w:val="000000" w:themeColor="text1"/>
        </w:rPr>
        <w:t xml:space="preserve"> ile </w:t>
      </w:r>
      <w:r w:rsidR="0034114A" w:rsidRPr="00591199">
        <w:rPr>
          <w:color w:val="000000" w:themeColor="text1"/>
        </w:rPr>
        <w:t xml:space="preserve">madencilik ve taş ocakçılığı </w:t>
      </w:r>
      <w:r w:rsidR="007B58E6" w:rsidRPr="00591199">
        <w:rPr>
          <w:color w:val="000000" w:themeColor="text1"/>
        </w:rPr>
        <w:t>üretim</w:t>
      </w:r>
      <w:r w:rsidR="00D95A87" w:rsidRPr="00591199">
        <w:rPr>
          <w:color w:val="000000" w:themeColor="text1"/>
        </w:rPr>
        <w:t xml:space="preserve">inde yaşanmıştır. İmalat sanayi üretim endeksi ise bir önceki aya göre yüzde </w:t>
      </w:r>
      <w:r w:rsidR="00F925BB" w:rsidRPr="00591199">
        <w:rPr>
          <w:color w:val="000000" w:themeColor="text1"/>
        </w:rPr>
        <w:t>2,5</w:t>
      </w:r>
      <w:r w:rsidR="00D95A87" w:rsidRPr="00591199">
        <w:rPr>
          <w:color w:val="000000" w:themeColor="text1"/>
        </w:rPr>
        <w:t xml:space="preserve"> bir önceki yıla göre ise yüzde </w:t>
      </w:r>
      <w:r w:rsidR="00F925BB" w:rsidRPr="00591199">
        <w:rPr>
          <w:color w:val="000000" w:themeColor="text1"/>
        </w:rPr>
        <w:t>4,9</w:t>
      </w:r>
      <w:r w:rsidR="00D95A87" w:rsidRPr="00591199">
        <w:rPr>
          <w:color w:val="000000" w:themeColor="text1"/>
        </w:rPr>
        <w:t xml:space="preserve"> artmıştır.</w:t>
      </w:r>
    </w:p>
    <w:p w:rsidR="00F925BB" w:rsidRPr="00591199" w:rsidRDefault="00F925BB" w:rsidP="005A464C">
      <w:pPr>
        <w:spacing w:after="0" w:line="240" w:lineRule="auto"/>
        <w:jc w:val="both"/>
        <w:rPr>
          <w:color w:val="000000" w:themeColor="text1"/>
        </w:rPr>
      </w:pPr>
    </w:p>
    <w:p w:rsidR="00F925BB" w:rsidRPr="00591199" w:rsidRDefault="00F925BB" w:rsidP="005A464C">
      <w:pPr>
        <w:spacing w:after="0" w:line="240" w:lineRule="auto"/>
        <w:jc w:val="both"/>
        <w:rPr>
          <w:color w:val="000000" w:themeColor="text1"/>
        </w:rPr>
      </w:pPr>
    </w:p>
    <w:p w:rsidR="00F925BB" w:rsidRPr="00591199" w:rsidRDefault="00F925BB" w:rsidP="005A464C">
      <w:pPr>
        <w:spacing w:after="0" w:line="240" w:lineRule="auto"/>
        <w:jc w:val="both"/>
        <w:rPr>
          <w:color w:val="000000" w:themeColor="text1"/>
        </w:rPr>
      </w:pPr>
    </w:p>
    <w:p w:rsidR="00F925BB" w:rsidRPr="00591199" w:rsidRDefault="00F925BB" w:rsidP="005A464C">
      <w:pPr>
        <w:spacing w:after="0" w:line="240" w:lineRule="auto"/>
        <w:jc w:val="both"/>
        <w:rPr>
          <w:color w:val="000000" w:themeColor="text1"/>
        </w:rPr>
      </w:pPr>
    </w:p>
    <w:p w:rsidR="00F925BB" w:rsidRPr="00591199" w:rsidRDefault="00F925BB" w:rsidP="005A464C">
      <w:pPr>
        <w:spacing w:after="0" w:line="240" w:lineRule="auto"/>
        <w:jc w:val="both"/>
        <w:rPr>
          <w:color w:val="000000" w:themeColor="text1"/>
        </w:rPr>
      </w:pPr>
    </w:p>
    <w:p w:rsidR="00F925BB" w:rsidRPr="00591199" w:rsidRDefault="00F925BB" w:rsidP="005A464C">
      <w:pPr>
        <w:spacing w:after="0" w:line="240" w:lineRule="auto"/>
        <w:jc w:val="both"/>
        <w:rPr>
          <w:color w:val="000000" w:themeColor="text1"/>
        </w:rPr>
      </w:pPr>
    </w:p>
    <w:p w:rsidR="0096459B" w:rsidRPr="00591199" w:rsidRDefault="0096459B" w:rsidP="0096459B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591199">
        <w:rPr>
          <w:rFonts w:eastAsia="Times New Roman" w:cs="Times New Roman"/>
          <w:b/>
          <w:bCs/>
          <w:kern w:val="36"/>
          <w:sz w:val="24"/>
          <w:szCs w:val="24"/>
        </w:rPr>
        <w:t>Tablo 1: Ana sanayi gruplarına göre sanayi üretim endeksi büyüme ve değişim oranları(2010=100),</w:t>
      </w:r>
      <w:r w:rsidR="004A6789" w:rsidRPr="00591199">
        <w:rPr>
          <w:rFonts w:eastAsia="Times New Roman" w:cs="Times New Roman"/>
          <w:b/>
          <w:bCs/>
          <w:kern w:val="36"/>
          <w:sz w:val="24"/>
          <w:szCs w:val="24"/>
        </w:rPr>
        <w:t>Mart</w:t>
      </w:r>
      <w:r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 2015</w:t>
      </w:r>
    </w:p>
    <w:tbl>
      <w:tblPr>
        <w:tblW w:w="1021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255"/>
        <w:gridCol w:w="2552"/>
        <w:gridCol w:w="2409"/>
      </w:tblGrid>
      <w:tr w:rsidR="00CC2ADF" w:rsidRPr="00591199" w:rsidTr="00CC2ADF">
        <w:trPr>
          <w:trHeight w:val="27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2ADF" w:rsidRPr="00591199" w:rsidRDefault="00CC2ADF" w:rsidP="00CC2ADF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DF" w:rsidRPr="00591199" w:rsidRDefault="00CC2ADF" w:rsidP="00CC2A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Önceki Aya Göre (%)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DF" w:rsidRPr="00591199" w:rsidRDefault="00CC2ADF" w:rsidP="00CC2A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Önceki Yıla Göre (%)</w:t>
            </w:r>
          </w:p>
        </w:tc>
      </w:tr>
      <w:tr w:rsidR="00CC2ADF" w:rsidRPr="00591199" w:rsidTr="00CC2ADF">
        <w:trPr>
          <w:trHeight w:val="270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DF" w:rsidRPr="00591199" w:rsidRDefault="00CC2ADF" w:rsidP="00CC2ADF">
            <w:pPr>
              <w:spacing w:after="0" w:line="240" w:lineRule="auto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Madencilik ve Taşocakçılığı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DF" w:rsidRPr="00591199" w:rsidRDefault="00CC2ADF" w:rsidP="00CC2AD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3.1%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DF" w:rsidRPr="00591199" w:rsidRDefault="00CC2ADF" w:rsidP="00CC2AD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5.3%</w:t>
            </w:r>
          </w:p>
        </w:tc>
      </w:tr>
      <w:tr w:rsidR="00CC2ADF" w:rsidRPr="00591199" w:rsidTr="00CC2ADF">
        <w:trPr>
          <w:trHeight w:val="27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DF" w:rsidRPr="00591199" w:rsidRDefault="00CC2ADF" w:rsidP="00CC2ADF">
            <w:pPr>
              <w:spacing w:after="0" w:line="240" w:lineRule="auto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İmalat Sanayi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ADF" w:rsidRPr="00591199" w:rsidRDefault="00CC2ADF" w:rsidP="00CC2AD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2.5%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DF" w:rsidRPr="00591199" w:rsidRDefault="00CC2ADF" w:rsidP="00CC2AD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4.9%</w:t>
            </w:r>
          </w:p>
        </w:tc>
      </w:tr>
      <w:tr w:rsidR="00CC2ADF" w:rsidRPr="00591199" w:rsidTr="00CC2ADF">
        <w:trPr>
          <w:trHeight w:val="27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2ADF" w:rsidRPr="00591199" w:rsidRDefault="00CC2ADF" w:rsidP="00CC2ADF">
            <w:pPr>
              <w:spacing w:after="0" w:line="240" w:lineRule="auto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Elektrik, Gaz, Buhar ve İklimlendirme Üretimi ve Dağıtımı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DF" w:rsidRPr="00591199" w:rsidRDefault="00CC2ADF" w:rsidP="00CC2AD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-0.1%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DF" w:rsidRPr="00591199" w:rsidRDefault="00CC2ADF" w:rsidP="00CC2AD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3.1%</w:t>
            </w:r>
          </w:p>
        </w:tc>
      </w:tr>
      <w:tr w:rsidR="00CC2ADF" w:rsidRPr="00591199" w:rsidTr="00CC2ADF">
        <w:trPr>
          <w:trHeight w:val="27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DF" w:rsidRPr="00591199" w:rsidRDefault="00CC2ADF" w:rsidP="00CC2ADF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TOPLAM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DF" w:rsidRPr="00591199" w:rsidRDefault="00CC2ADF" w:rsidP="00CC2A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2.2%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2ADF" w:rsidRPr="00591199" w:rsidRDefault="00CC2ADF" w:rsidP="00CC2AD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4.7%</w:t>
            </w:r>
          </w:p>
        </w:tc>
      </w:tr>
    </w:tbl>
    <w:p w:rsidR="0096459B" w:rsidRPr="00591199" w:rsidRDefault="0096459B" w:rsidP="0096459B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591199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591199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F925BB" w:rsidRPr="00591199" w:rsidRDefault="00F925BB" w:rsidP="007B58E6">
      <w:pPr>
        <w:jc w:val="both"/>
        <w:rPr>
          <w:color w:val="000000" w:themeColor="text1"/>
        </w:rPr>
      </w:pPr>
    </w:p>
    <w:p w:rsidR="007B58E6" w:rsidRPr="00591199" w:rsidRDefault="00C04441" w:rsidP="007B58E6">
      <w:pPr>
        <w:jc w:val="both"/>
        <w:rPr>
          <w:color w:val="000000" w:themeColor="text1"/>
        </w:rPr>
      </w:pPr>
      <w:r w:rsidRPr="00591199">
        <w:rPr>
          <w:color w:val="000000" w:themeColor="text1"/>
        </w:rPr>
        <w:t>Ana sanayi gruplarına</w:t>
      </w:r>
      <w:r w:rsidR="007B58E6" w:rsidRPr="00591199">
        <w:rPr>
          <w:color w:val="000000" w:themeColor="text1"/>
        </w:rPr>
        <w:t xml:space="preserve"> bakıldığında </w:t>
      </w:r>
      <w:r w:rsidR="00872283" w:rsidRPr="00591199">
        <w:rPr>
          <w:color w:val="000000" w:themeColor="text1"/>
        </w:rPr>
        <w:t>artışta</w:t>
      </w:r>
      <w:r w:rsidR="007B58E6" w:rsidRPr="00591199">
        <w:rPr>
          <w:color w:val="000000" w:themeColor="text1"/>
        </w:rPr>
        <w:t xml:space="preserve"> </w:t>
      </w:r>
      <w:r w:rsidR="004D49B1" w:rsidRPr="00591199">
        <w:rPr>
          <w:color w:val="000000" w:themeColor="text1"/>
        </w:rPr>
        <w:t>dayanıklı</w:t>
      </w:r>
      <w:r w:rsidR="007B58E6" w:rsidRPr="00591199">
        <w:rPr>
          <w:color w:val="000000" w:themeColor="text1"/>
        </w:rPr>
        <w:t xml:space="preserve"> tüketim</w:t>
      </w:r>
      <w:r w:rsidR="00347FB8" w:rsidRPr="00591199">
        <w:rPr>
          <w:color w:val="000000" w:themeColor="text1"/>
        </w:rPr>
        <w:t xml:space="preserve"> malı</w:t>
      </w:r>
      <w:r w:rsidR="004D49B1" w:rsidRPr="00591199">
        <w:rPr>
          <w:color w:val="000000" w:themeColor="text1"/>
        </w:rPr>
        <w:t xml:space="preserve">, dayanıksız tüketim malı ve </w:t>
      </w:r>
      <w:r w:rsidR="00872283" w:rsidRPr="00591199">
        <w:rPr>
          <w:color w:val="000000" w:themeColor="text1"/>
        </w:rPr>
        <w:t xml:space="preserve">enerji sektörü imalatının </w:t>
      </w:r>
      <w:r w:rsidR="00735D6D" w:rsidRPr="00591199">
        <w:rPr>
          <w:color w:val="000000" w:themeColor="text1"/>
        </w:rPr>
        <w:t>artışta</w:t>
      </w:r>
      <w:r w:rsidR="007B58E6" w:rsidRPr="00591199">
        <w:rPr>
          <w:color w:val="000000" w:themeColor="text1"/>
        </w:rPr>
        <w:t xml:space="preserve"> etkisi oldu</w:t>
      </w:r>
      <w:r w:rsidR="00FD0F6A" w:rsidRPr="00591199">
        <w:rPr>
          <w:color w:val="000000" w:themeColor="text1"/>
        </w:rPr>
        <w:t>ğu görülmektedir</w:t>
      </w:r>
      <w:r w:rsidR="007B58E6" w:rsidRPr="00591199">
        <w:rPr>
          <w:color w:val="000000" w:themeColor="text1"/>
        </w:rPr>
        <w:t>.</w:t>
      </w:r>
      <w:r w:rsidR="00B8514B" w:rsidRPr="00591199">
        <w:rPr>
          <w:color w:val="000000" w:themeColor="text1"/>
        </w:rPr>
        <w:t xml:space="preserve"> </w:t>
      </w:r>
      <w:r w:rsidR="00872283" w:rsidRPr="00591199">
        <w:rPr>
          <w:color w:val="000000" w:themeColor="text1"/>
        </w:rPr>
        <w:t>Bir önceki aya göre a</w:t>
      </w:r>
      <w:r w:rsidR="00735D6D" w:rsidRPr="00591199">
        <w:rPr>
          <w:color w:val="000000" w:themeColor="text1"/>
        </w:rPr>
        <w:t xml:space="preserve">na sanayi gruplarından </w:t>
      </w:r>
      <w:r w:rsidR="00872283" w:rsidRPr="00591199">
        <w:rPr>
          <w:color w:val="000000" w:themeColor="text1"/>
        </w:rPr>
        <w:t xml:space="preserve">hiç birinde sanayi üretim endeksinde azalma olmamıştır. </w:t>
      </w:r>
      <w:r w:rsidR="004573D3" w:rsidRPr="00591199">
        <w:rPr>
          <w:color w:val="000000" w:themeColor="text1"/>
        </w:rPr>
        <w:t xml:space="preserve">Bir önceki aya göre en fazla artış ise yüzde </w:t>
      </w:r>
      <w:r w:rsidR="00F925BB" w:rsidRPr="00591199">
        <w:rPr>
          <w:color w:val="000000" w:themeColor="text1"/>
        </w:rPr>
        <w:t>3</w:t>
      </w:r>
      <w:r w:rsidR="002A3E2F" w:rsidRPr="00591199">
        <w:rPr>
          <w:color w:val="000000" w:themeColor="text1"/>
        </w:rPr>
        <w:t>,6</w:t>
      </w:r>
      <w:r w:rsidR="00F925BB" w:rsidRPr="00591199">
        <w:rPr>
          <w:color w:val="000000" w:themeColor="text1"/>
        </w:rPr>
        <w:t xml:space="preserve"> ile dayanıksız</w:t>
      </w:r>
      <w:r w:rsidR="004573D3" w:rsidRPr="00591199">
        <w:rPr>
          <w:color w:val="000000" w:themeColor="text1"/>
        </w:rPr>
        <w:t xml:space="preserve"> tüketim ürünleri imalatında olmuştur. </w:t>
      </w:r>
      <w:r w:rsidR="00F925BB" w:rsidRPr="00591199">
        <w:rPr>
          <w:color w:val="000000" w:themeColor="text1"/>
        </w:rPr>
        <w:t>Bir önceki yıla göre ise en fazla artış da yine 7,4 ile dayanıksız tüketim malı üretiminde olmuştur.</w:t>
      </w:r>
      <w:r w:rsidR="004573D3" w:rsidRPr="00591199">
        <w:rPr>
          <w:color w:val="000000" w:themeColor="text1"/>
        </w:rPr>
        <w:t xml:space="preserve"> </w:t>
      </w:r>
      <w:r w:rsidR="00B8514B" w:rsidRPr="00591199">
        <w:rPr>
          <w:color w:val="000000" w:themeColor="text1"/>
        </w:rPr>
        <w:t xml:space="preserve">İmalat Sanayi Kapasite Kullanım Oranları (KKO-MA), </w:t>
      </w:r>
      <w:r w:rsidR="00F552A9" w:rsidRPr="00591199">
        <w:rPr>
          <w:color w:val="000000" w:themeColor="text1"/>
        </w:rPr>
        <w:t xml:space="preserve">ise </w:t>
      </w:r>
      <w:r w:rsidR="00591199" w:rsidRPr="00591199">
        <w:rPr>
          <w:rStyle w:val="Vurgu"/>
          <w:rFonts w:cs="Arial"/>
          <w:bCs/>
          <w:i w:val="0"/>
          <w:iCs w:val="0"/>
          <w:color w:val="000000" w:themeColor="text1"/>
          <w:shd w:val="clear" w:color="auto" w:fill="FFFFFF"/>
        </w:rPr>
        <w:t>mart</w:t>
      </w:r>
      <w:r w:rsidR="001273B1" w:rsidRPr="00591199">
        <w:rPr>
          <w:rStyle w:val="apple-converted-space"/>
          <w:rFonts w:cs="Arial"/>
          <w:color w:val="000000" w:themeColor="text1"/>
          <w:shd w:val="clear" w:color="auto" w:fill="FFFFFF"/>
        </w:rPr>
        <w:t> </w:t>
      </w:r>
      <w:r w:rsidR="001273B1" w:rsidRPr="00591199">
        <w:rPr>
          <w:rFonts w:cs="Arial"/>
          <w:color w:val="000000" w:themeColor="text1"/>
          <w:shd w:val="clear" w:color="auto" w:fill="FFFFFF"/>
        </w:rPr>
        <w:t>ayında bir önceki aya</w:t>
      </w:r>
      <w:r w:rsidR="005D3074" w:rsidRPr="00591199">
        <w:rPr>
          <w:rFonts w:cs="Arial"/>
          <w:color w:val="000000" w:themeColor="text1"/>
          <w:shd w:val="clear" w:color="auto" w:fill="FFFFFF"/>
        </w:rPr>
        <w:t xml:space="preserve"> g</w:t>
      </w:r>
      <w:r w:rsidR="00591199" w:rsidRPr="00591199">
        <w:rPr>
          <w:rFonts w:cs="Arial"/>
          <w:color w:val="000000" w:themeColor="text1"/>
          <w:shd w:val="clear" w:color="auto" w:fill="FFFFFF"/>
        </w:rPr>
        <w:t>öre 0,4 puan azalarak yüzde 72,4</w:t>
      </w:r>
      <w:r w:rsidR="001273B1" w:rsidRPr="00591199">
        <w:rPr>
          <w:rFonts w:cs="Arial"/>
          <w:color w:val="000000" w:themeColor="text1"/>
          <w:shd w:val="clear" w:color="auto" w:fill="FFFFFF"/>
        </w:rPr>
        <w:t xml:space="preserve"> seviyesinde indi.</w:t>
      </w:r>
    </w:p>
    <w:p w:rsidR="0096459B" w:rsidRPr="00591199" w:rsidRDefault="0096459B" w:rsidP="00B53024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591199">
        <w:rPr>
          <w:rFonts w:eastAsia="Times New Roman" w:cs="Times New Roman"/>
          <w:b/>
          <w:bCs/>
          <w:kern w:val="36"/>
          <w:sz w:val="24"/>
          <w:szCs w:val="24"/>
        </w:rPr>
        <w:t>Tablo 2: Ana sanayi gruplarına göre sanayi üretim endeksi büyüme ve d</w:t>
      </w:r>
      <w:r w:rsidR="003101E4"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eğişim </w:t>
      </w:r>
      <w:r w:rsidR="004A6789" w:rsidRPr="00591199">
        <w:rPr>
          <w:rFonts w:eastAsia="Times New Roman" w:cs="Times New Roman"/>
          <w:b/>
          <w:bCs/>
          <w:kern w:val="36"/>
          <w:sz w:val="24"/>
          <w:szCs w:val="24"/>
        </w:rPr>
        <w:t>oranları(2010=100), Mart</w:t>
      </w:r>
      <w:r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 2015</w:t>
      </w:r>
    </w:p>
    <w:tbl>
      <w:tblPr>
        <w:tblW w:w="648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2360"/>
        <w:gridCol w:w="2060"/>
        <w:gridCol w:w="2060"/>
      </w:tblGrid>
      <w:tr w:rsidR="00B53024" w:rsidRPr="00591199" w:rsidTr="00B53024">
        <w:trPr>
          <w:trHeight w:val="315"/>
          <w:jc w:val="center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Önceki Aya Göre (%)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Önceki Yıla Göre (%)</w:t>
            </w:r>
          </w:p>
        </w:tc>
      </w:tr>
      <w:tr w:rsidR="00B53024" w:rsidRPr="00591199" w:rsidTr="00B53024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Ara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1.2%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-0.7%</w:t>
            </w:r>
          </w:p>
        </w:tc>
      </w:tr>
      <w:tr w:rsidR="00B53024" w:rsidRPr="00591199" w:rsidTr="00B53024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Dayanıklı Tüketim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1.6%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4.1%</w:t>
            </w:r>
          </w:p>
        </w:tc>
      </w:tr>
      <w:tr w:rsidR="00B53024" w:rsidRPr="00591199" w:rsidTr="00B53024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Dayanıksız Tüketim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3.6%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7.4%</w:t>
            </w:r>
          </w:p>
        </w:tc>
      </w:tr>
      <w:tr w:rsidR="00B53024" w:rsidRPr="00591199" w:rsidTr="00B53024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Enerji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1.5%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3.3%</w:t>
            </w:r>
          </w:p>
        </w:tc>
      </w:tr>
      <w:tr w:rsidR="00B53024" w:rsidRPr="00591199" w:rsidTr="00B53024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Sermaye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3.2%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14.3%</w:t>
            </w:r>
          </w:p>
        </w:tc>
      </w:tr>
      <w:tr w:rsidR="00B53024" w:rsidRPr="00591199" w:rsidTr="00B53024">
        <w:trPr>
          <w:trHeight w:val="315"/>
          <w:jc w:val="center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TOPLAM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2.2%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024" w:rsidRPr="00591199" w:rsidRDefault="00B53024" w:rsidP="00B530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4.7%</w:t>
            </w:r>
          </w:p>
        </w:tc>
      </w:tr>
    </w:tbl>
    <w:p w:rsidR="0096459B" w:rsidRPr="00591199" w:rsidRDefault="0096459B" w:rsidP="0096459B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591199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591199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96459B" w:rsidRPr="00591199" w:rsidRDefault="0096459B" w:rsidP="0096459B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8E7F7A" w:rsidRPr="00591199" w:rsidRDefault="00517288" w:rsidP="00517288">
      <w:pPr>
        <w:jc w:val="both"/>
        <w:rPr>
          <w:color w:val="000000" w:themeColor="text1"/>
        </w:rPr>
      </w:pPr>
      <w:r w:rsidRPr="00591199">
        <w:rPr>
          <w:color w:val="000000" w:themeColor="text1"/>
        </w:rPr>
        <w:t xml:space="preserve">İmalat sanayinin alt sektörlerinde geçen aya göre </w:t>
      </w:r>
      <w:r w:rsidR="00923FD3" w:rsidRPr="00591199">
        <w:rPr>
          <w:color w:val="000000" w:themeColor="text1"/>
        </w:rPr>
        <w:t>en</w:t>
      </w:r>
      <w:r w:rsidR="00B82173" w:rsidRPr="00591199">
        <w:rPr>
          <w:color w:val="000000" w:themeColor="text1"/>
        </w:rPr>
        <w:t xml:space="preserve"> fazla artış makine ve </w:t>
      </w:r>
      <w:proofErr w:type="gramStart"/>
      <w:r w:rsidR="00B82173" w:rsidRPr="00591199">
        <w:rPr>
          <w:color w:val="000000" w:themeColor="text1"/>
        </w:rPr>
        <w:t>ekipmanların</w:t>
      </w:r>
      <w:proofErr w:type="gramEnd"/>
      <w:r w:rsidR="00B82173" w:rsidRPr="00591199">
        <w:rPr>
          <w:color w:val="000000" w:themeColor="text1"/>
        </w:rPr>
        <w:t xml:space="preserve"> kurulumu</w:t>
      </w:r>
      <w:r w:rsidR="00923FD3" w:rsidRPr="00591199">
        <w:rPr>
          <w:color w:val="000000" w:themeColor="text1"/>
        </w:rPr>
        <w:t xml:space="preserve"> </w:t>
      </w:r>
      <w:r w:rsidR="005D3074" w:rsidRPr="00591199">
        <w:rPr>
          <w:color w:val="000000" w:themeColor="text1"/>
        </w:rPr>
        <w:t>(%</w:t>
      </w:r>
      <w:r w:rsidR="00B82173" w:rsidRPr="00591199">
        <w:rPr>
          <w:color w:val="000000" w:themeColor="text1"/>
        </w:rPr>
        <w:t>14,1</w:t>
      </w:r>
      <w:r w:rsidR="005D3074" w:rsidRPr="00591199">
        <w:rPr>
          <w:color w:val="000000" w:themeColor="text1"/>
        </w:rPr>
        <w:t xml:space="preserve">) ile </w:t>
      </w:r>
      <w:r w:rsidR="00B82173" w:rsidRPr="00591199">
        <w:rPr>
          <w:rFonts w:eastAsia="Times New Roman" w:cs="Times New Roman"/>
          <w:bCs/>
        </w:rPr>
        <w:t xml:space="preserve">Bilgisayarların, elektronik ve optik </w:t>
      </w:r>
      <w:r w:rsidR="00B82173" w:rsidRPr="00591199">
        <w:rPr>
          <w:color w:val="000000" w:themeColor="text1"/>
        </w:rPr>
        <w:t>(%13,9</w:t>
      </w:r>
      <w:r w:rsidR="00763689" w:rsidRPr="00591199">
        <w:rPr>
          <w:color w:val="000000" w:themeColor="text1"/>
        </w:rPr>
        <w:t xml:space="preserve">) imalatında gerçekleşmiştir. Bu sektörleri </w:t>
      </w:r>
      <w:r w:rsidR="005D3074" w:rsidRPr="00591199">
        <w:rPr>
          <w:color w:val="000000" w:themeColor="text1"/>
        </w:rPr>
        <w:t>tütün ürünleri (%</w:t>
      </w:r>
      <w:r w:rsidR="00B82173" w:rsidRPr="00591199">
        <w:rPr>
          <w:color w:val="000000" w:themeColor="text1"/>
        </w:rPr>
        <w:t>12,8</w:t>
      </w:r>
      <w:r w:rsidR="00763689" w:rsidRPr="00591199">
        <w:rPr>
          <w:color w:val="000000" w:themeColor="text1"/>
        </w:rPr>
        <w:t xml:space="preserve">) ve </w:t>
      </w:r>
      <w:r w:rsidR="00B82173" w:rsidRPr="00591199">
        <w:rPr>
          <w:color w:val="000000" w:themeColor="text1"/>
        </w:rPr>
        <w:t>deri ve ilgili ürün imalatı</w:t>
      </w:r>
      <w:r w:rsidR="005D3074" w:rsidRPr="00591199">
        <w:rPr>
          <w:color w:val="000000" w:themeColor="text1"/>
        </w:rPr>
        <w:t xml:space="preserve"> (%</w:t>
      </w:r>
      <w:r w:rsidR="00B82173" w:rsidRPr="00591199">
        <w:rPr>
          <w:color w:val="000000" w:themeColor="text1"/>
        </w:rPr>
        <w:t>8,6</w:t>
      </w:r>
      <w:r w:rsidR="00763689" w:rsidRPr="00591199">
        <w:rPr>
          <w:color w:val="000000" w:themeColor="text1"/>
        </w:rPr>
        <w:t xml:space="preserve">) takip etmiştir. </w:t>
      </w:r>
      <w:r w:rsidR="00B82173" w:rsidRPr="00591199">
        <w:rPr>
          <w:color w:val="000000" w:themeColor="text1"/>
        </w:rPr>
        <w:t>Bir önceki yıla göre en hızlı artış ise Temel</w:t>
      </w:r>
      <w:r w:rsidR="00B82173" w:rsidRPr="00591199">
        <w:rPr>
          <w:rFonts w:eastAsia="Times New Roman" w:cs="Times New Roman"/>
          <w:bCs/>
        </w:rPr>
        <w:t xml:space="preserve"> eczacılık ürünlerinin imalatı (%48,5) ve Makine ve </w:t>
      </w:r>
      <w:proofErr w:type="gramStart"/>
      <w:r w:rsidR="00B82173" w:rsidRPr="00591199">
        <w:rPr>
          <w:rFonts w:eastAsia="Times New Roman" w:cs="Times New Roman"/>
          <w:bCs/>
        </w:rPr>
        <w:t>ekipmanların</w:t>
      </w:r>
      <w:proofErr w:type="gramEnd"/>
      <w:r w:rsidR="00B82173" w:rsidRPr="00591199">
        <w:rPr>
          <w:rFonts w:eastAsia="Times New Roman" w:cs="Times New Roman"/>
          <w:bCs/>
        </w:rPr>
        <w:t xml:space="preserve"> (%39) kurulumu imalatına görülmüştür.</w:t>
      </w:r>
    </w:p>
    <w:p w:rsidR="008E7F7A" w:rsidRPr="00591199" w:rsidRDefault="00B82173" w:rsidP="00517288">
      <w:pPr>
        <w:jc w:val="both"/>
        <w:rPr>
          <w:color w:val="000000" w:themeColor="text1"/>
        </w:rPr>
      </w:pPr>
      <w:r w:rsidRPr="00591199">
        <w:rPr>
          <w:color w:val="000000" w:themeColor="text1"/>
        </w:rPr>
        <w:t>Son 6 yılın mart</w:t>
      </w:r>
      <w:r w:rsidR="008E7F7A" w:rsidRPr="00591199">
        <w:rPr>
          <w:color w:val="000000" w:themeColor="text1"/>
        </w:rPr>
        <w:t xml:space="preserve"> ayı sanayi üretim endeksle</w:t>
      </w:r>
      <w:r w:rsidR="004D6276" w:rsidRPr="00591199">
        <w:rPr>
          <w:color w:val="000000" w:themeColor="text1"/>
        </w:rPr>
        <w:t>r</w:t>
      </w:r>
      <w:r w:rsidRPr="00591199">
        <w:rPr>
          <w:color w:val="000000" w:themeColor="text1"/>
        </w:rPr>
        <w:t>ine bakıldığında ise endeks 2010</w:t>
      </w:r>
      <w:r w:rsidR="008E7F7A" w:rsidRPr="00591199">
        <w:rPr>
          <w:color w:val="000000" w:themeColor="text1"/>
        </w:rPr>
        <w:t xml:space="preserve"> yılından bu yana her sene bir öncekinin üzerinde seyrederken</w:t>
      </w:r>
      <w:r w:rsidR="001273B1" w:rsidRPr="00591199">
        <w:rPr>
          <w:color w:val="000000" w:themeColor="text1"/>
        </w:rPr>
        <w:t>,</w:t>
      </w:r>
      <w:r w:rsidRPr="00591199">
        <w:rPr>
          <w:color w:val="000000" w:themeColor="text1"/>
        </w:rPr>
        <w:t xml:space="preserve"> 2011 yılından bu yana daha yavaş artmasına rağmen artmaya devam etmektedir ve</w:t>
      </w:r>
      <w:r w:rsidR="008E7F7A" w:rsidRPr="00591199">
        <w:rPr>
          <w:color w:val="000000" w:themeColor="text1"/>
        </w:rPr>
        <w:t xml:space="preserve"> 2015 yılı </w:t>
      </w:r>
      <w:r w:rsidR="00553466" w:rsidRPr="00591199">
        <w:rPr>
          <w:color w:val="000000" w:themeColor="text1"/>
        </w:rPr>
        <w:t>Mart</w:t>
      </w:r>
      <w:r w:rsidR="008E7F7A" w:rsidRPr="00591199">
        <w:rPr>
          <w:color w:val="000000" w:themeColor="text1"/>
        </w:rPr>
        <w:t xml:space="preserve"> ayı</w:t>
      </w:r>
      <w:r w:rsidR="001273B1" w:rsidRPr="00591199">
        <w:rPr>
          <w:color w:val="000000" w:themeColor="text1"/>
        </w:rPr>
        <w:t xml:space="preserve"> sanayi</w:t>
      </w:r>
      <w:r w:rsidR="008E7F7A" w:rsidRPr="00591199">
        <w:rPr>
          <w:color w:val="000000" w:themeColor="text1"/>
        </w:rPr>
        <w:t xml:space="preserve"> üretim</w:t>
      </w:r>
      <w:r w:rsidR="001273B1" w:rsidRPr="00591199">
        <w:rPr>
          <w:color w:val="000000" w:themeColor="text1"/>
        </w:rPr>
        <w:t xml:space="preserve"> endeksi </w:t>
      </w:r>
      <w:r w:rsidR="004D6276" w:rsidRPr="00591199">
        <w:rPr>
          <w:color w:val="000000" w:themeColor="text1"/>
        </w:rPr>
        <w:t>de yükselişe devam etmiştir.</w:t>
      </w:r>
      <w:r w:rsidR="008E7F7A" w:rsidRPr="00591199">
        <w:rPr>
          <w:color w:val="000000" w:themeColor="text1"/>
        </w:rPr>
        <w:t xml:space="preserve"> </w:t>
      </w:r>
    </w:p>
    <w:p w:rsidR="004110A0" w:rsidRPr="00591199" w:rsidRDefault="004110A0" w:rsidP="00517288">
      <w:pPr>
        <w:jc w:val="both"/>
        <w:rPr>
          <w:color w:val="000000" w:themeColor="text1"/>
        </w:rPr>
      </w:pPr>
    </w:p>
    <w:p w:rsidR="004110A0" w:rsidRPr="00591199" w:rsidRDefault="004110A0" w:rsidP="00517288">
      <w:pPr>
        <w:jc w:val="both"/>
        <w:rPr>
          <w:color w:val="000000" w:themeColor="text1"/>
        </w:rPr>
      </w:pPr>
    </w:p>
    <w:p w:rsidR="003164E4" w:rsidRPr="00591199" w:rsidRDefault="003164E4" w:rsidP="00517288">
      <w:pPr>
        <w:jc w:val="both"/>
        <w:rPr>
          <w:color w:val="000000" w:themeColor="text1"/>
        </w:rPr>
      </w:pPr>
    </w:p>
    <w:p w:rsidR="004110A0" w:rsidRPr="00591199" w:rsidRDefault="004110A0" w:rsidP="00517288">
      <w:pPr>
        <w:jc w:val="both"/>
        <w:rPr>
          <w:color w:val="000000" w:themeColor="text1"/>
        </w:rPr>
      </w:pPr>
    </w:p>
    <w:p w:rsidR="00FD0F6A" w:rsidRPr="00591199" w:rsidRDefault="0043515F" w:rsidP="003144C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591199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Şekil 2: </w:t>
      </w:r>
      <w:r w:rsidR="00FD0F6A" w:rsidRPr="00591199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Yıllara göre </w:t>
      </w:r>
      <w:r w:rsidR="00D04088" w:rsidRPr="00591199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>Mart</w:t>
      </w:r>
      <w:r w:rsidR="00FD0F6A" w:rsidRPr="00591199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ayları itibariyle sanayi üretim endeksi</w:t>
      </w:r>
      <w:r w:rsidR="00B21E05" w:rsidRPr="00591199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</w:t>
      </w:r>
      <w:r w:rsidR="00FD0F6A" w:rsidRPr="00591199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>(</w:t>
      </w:r>
      <w:r w:rsidR="00C5430C" w:rsidRPr="00591199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 xml:space="preserve">mevsim ve </w:t>
      </w:r>
      <w:r w:rsidR="00FD0F6A" w:rsidRPr="00591199">
        <w:rPr>
          <w:rFonts w:eastAsia="Times New Roman" w:cs="Times New Roman"/>
          <w:b/>
          <w:bCs/>
          <w:color w:val="000000" w:themeColor="text1"/>
          <w:kern w:val="36"/>
          <w:sz w:val="24"/>
          <w:szCs w:val="24"/>
        </w:rPr>
        <w:t>takvim etkisinden arındırılmış, 2010=100)</w:t>
      </w:r>
    </w:p>
    <w:p w:rsidR="00FD0F6A" w:rsidRPr="00591199" w:rsidRDefault="00E803BB" w:rsidP="0046529E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i/>
          <w:kern w:val="36"/>
          <w:sz w:val="28"/>
          <w:szCs w:val="24"/>
        </w:rPr>
      </w:pPr>
      <w:r w:rsidRPr="00591199">
        <w:rPr>
          <w:rFonts w:eastAsia="Times New Roman" w:cs="Times New Roman"/>
          <w:b/>
          <w:bCs/>
          <w:i/>
          <w:noProof/>
          <w:kern w:val="36"/>
          <w:sz w:val="28"/>
          <w:szCs w:val="24"/>
        </w:rPr>
        <w:drawing>
          <wp:inline distT="0" distB="0" distL="0" distR="0">
            <wp:extent cx="4476750" cy="2257425"/>
            <wp:effectExtent l="0" t="0" r="0" b="0"/>
            <wp:docPr id="4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54B2" w:rsidRPr="00591199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591199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591199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7554B2" w:rsidRPr="00591199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Pr="00591199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D643BA" w:rsidRPr="00591199" w:rsidRDefault="00DC7CC4" w:rsidP="007554B2">
      <w:pPr>
        <w:spacing w:after="0" w:line="240" w:lineRule="auto"/>
        <w:contextualSpacing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Tablo </w:t>
      </w:r>
      <w:r w:rsidR="00785D0D" w:rsidRPr="00591199">
        <w:rPr>
          <w:rFonts w:eastAsia="Times New Roman" w:cs="Times New Roman"/>
          <w:b/>
          <w:bCs/>
          <w:kern w:val="36"/>
          <w:sz w:val="24"/>
          <w:szCs w:val="24"/>
        </w:rPr>
        <w:t>3</w:t>
      </w:r>
      <w:r w:rsidR="007402FF"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: </w:t>
      </w:r>
      <w:r w:rsidR="00AE1B17" w:rsidRPr="00591199">
        <w:rPr>
          <w:rFonts w:eastAsia="Times New Roman" w:cs="Times New Roman"/>
          <w:b/>
          <w:bCs/>
          <w:kern w:val="36"/>
          <w:sz w:val="24"/>
          <w:szCs w:val="24"/>
        </w:rPr>
        <w:t>Sanayi alt sektörlerine</w:t>
      </w:r>
      <w:r w:rsidR="007402FF"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 göre sanayi üretim endeksi büyüme ve d</w:t>
      </w:r>
      <w:r w:rsidR="00264515"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eğişim oranları(2010=100), </w:t>
      </w:r>
      <w:r w:rsidR="00C61DD1" w:rsidRPr="00591199">
        <w:rPr>
          <w:rFonts w:eastAsia="Times New Roman" w:cs="Times New Roman"/>
          <w:b/>
          <w:bCs/>
          <w:kern w:val="36"/>
          <w:sz w:val="24"/>
          <w:szCs w:val="24"/>
        </w:rPr>
        <w:t>Mart</w:t>
      </w:r>
      <w:r w:rsidR="00AA3994" w:rsidRPr="00591199">
        <w:rPr>
          <w:rFonts w:eastAsia="Times New Roman" w:cs="Times New Roman"/>
          <w:b/>
          <w:bCs/>
          <w:kern w:val="36"/>
          <w:sz w:val="24"/>
          <w:szCs w:val="24"/>
        </w:rPr>
        <w:t xml:space="preserve"> 2015</w:t>
      </w:r>
    </w:p>
    <w:tbl>
      <w:tblPr>
        <w:tblW w:w="865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498"/>
        <w:gridCol w:w="2028"/>
        <w:gridCol w:w="2126"/>
      </w:tblGrid>
      <w:tr w:rsidR="00D643BA" w:rsidRPr="00591199" w:rsidTr="004110A0">
        <w:trPr>
          <w:trHeight w:val="272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591199">
              <w:rPr>
                <w:rFonts w:eastAsia="Times New Roman" w:cs="Times New Roman"/>
                <w:szCs w:val="20"/>
              </w:rPr>
              <w:t> 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Önceki Aya Göre (%)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Önceki Yıla Göre (%)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 xml:space="preserve">Makine ve </w:t>
            </w:r>
            <w:proofErr w:type="gramStart"/>
            <w:r w:rsidRPr="00591199">
              <w:rPr>
                <w:rFonts w:eastAsia="Times New Roman" w:cs="Times New Roman"/>
                <w:b/>
                <w:bCs/>
              </w:rPr>
              <w:t>ekipmanların</w:t>
            </w:r>
            <w:proofErr w:type="gramEnd"/>
            <w:r w:rsidRPr="00591199">
              <w:rPr>
                <w:rFonts w:eastAsia="Times New Roman" w:cs="Times New Roman"/>
                <w:b/>
                <w:bCs/>
              </w:rPr>
              <w:t xml:space="preserve"> kurulumu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14.1%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39.0%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 xml:space="preserve">Bilgisayarların, elektronik ve </w:t>
            </w:r>
            <w:proofErr w:type="gramStart"/>
            <w:r w:rsidRPr="00591199">
              <w:rPr>
                <w:rFonts w:eastAsia="Times New Roman" w:cs="Times New Roman"/>
                <w:b/>
                <w:bCs/>
              </w:rPr>
              <w:t>optik  imalatı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13.9%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24.5%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Tütün ürünleri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12.8%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17.0%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Deri ve ilgili ürünlerin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8.6%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-1.9%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Temel eczacılık ürünlerinin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8.2%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48.5%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 xml:space="preserve">Kok kömürü ve rafine edilmiş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7.7%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23.9%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Mobilya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4.9%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14.8%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gramStart"/>
            <w:r w:rsidRPr="00591199">
              <w:rPr>
                <w:rFonts w:eastAsia="Times New Roman" w:cs="Times New Roman"/>
                <w:b/>
                <w:bCs/>
              </w:rPr>
              <w:t>Kağıt</w:t>
            </w:r>
            <w:proofErr w:type="gramEnd"/>
            <w:r w:rsidRPr="00591199">
              <w:rPr>
                <w:rFonts w:eastAsia="Times New Roman" w:cs="Times New Roman"/>
                <w:b/>
                <w:bCs/>
              </w:rPr>
              <w:t xml:space="preserve"> ve kağıt ürünleri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4.2%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2.9%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Diğer metalik olmayan mineral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4.0%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-4.5%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Giyim eşyaları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3.9%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2.6%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 xml:space="preserve">Motorlu kara taşıtı, treyler (römork)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3.8%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22.8%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Fabrikasyon metal ürünleri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3.1%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0.6%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Kimyasalların ve kimyasal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2.2%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0.2%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Ana metal sanayi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2.1%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1.9%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Başka yerde sınıflandırılmamış ürün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2.0%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3.6%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Diğer imalatlar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1.5%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-1.6%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Kauçuk ve plastik ürünlerin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0.8%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1.3%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Ağaç, ağaç ve mantar ürünleri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0.5%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-7.2%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Gıda ürünleri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0.4%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2.1%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Tekstil ürünleri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0.2%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-9.7%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Kayıtlı medyanın basılması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-0.5%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-3.5%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Elektrikli teçhizat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-0.8%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-3.3%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İçeceklerin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-4.1%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0.8%</w:t>
            </w:r>
          </w:p>
        </w:tc>
      </w:tr>
      <w:tr w:rsidR="00D643BA" w:rsidRPr="00591199" w:rsidTr="004110A0">
        <w:trPr>
          <w:trHeight w:val="27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591199">
              <w:rPr>
                <w:rFonts w:eastAsia="Times New Roman" w:cs="Times New Roman"/>
                <w:b/>
                <w:bCs/>
              </w:rPr>
              <w:t>Diğer ulaşım araçlarının imalatı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-10.1%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91199">
              <w:rPr>
                <w:rFonts w:eastAsia="Times New Roman" w:cs="Times New Roman"/>
              </w:rPr>
              <w:t>35.3%</w:t>
            </w:r>
          </w:p>
        </w:tc>
      </w:tr>
      <w:tr w:rsidR="00D643BA" w:rsidRPr="00591199" w:rsidTr="004110A0">
        <w:trPr>
          <w:trHeight w:val="285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591199">
              <w:rPr>
                <w:rFonts w:eastAsia="Times New Roman" w:cs="Times New Roman"/>
                <w:b/>
                <w:bCs/>
                <w:szCs w:val="24"/>
              </w:rPr>
              <w:t>TOPLAM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91199">
              <w:rPr>
                <w:rFonts w:eastAsia="Times New Roman" w:cs="Times New Roman"/>
                <w:b/>
                <w:bCs/>
                <w:szCs w:val="24"/>
              </w:rPr>
              <w:t>2.2%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3BA" w:rsidRPr="00591199" w:rsidRDefault="00D643BA" w:rsidP="00D643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591199">
              <w:rPr>
                <w:rFonts w:eastAsia="Times New Roman" w:cs="Times New Roman"/>
                <w:b/>
                <w:bCs/>
                <w:szCs w:val="24"/>
              </w:rPr>
              <w:t>4.7%</w:t>
            </w:r>
          </w:p>
        </w:tc>
      </w:tr>
    </w:tbl>
    <w:p w:rsidR="00DC7CC4" w:rsidRPr="00B82173" w:rsidRDefault="004110A0" w:rsidP="004110A0">
      <w:pPr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591199">
        <w:rPr>
          <w:rFonts w:eastAsia="Times New Roman" w:cs="Times New Roman"/>
          <w:bCs/>
          <w:kern w:val="36"/>
          <w:sz w:val="18"/>
          <w:szCs w:val="24"/>
        </w:rPr>
        <w:t xml:space="preserve">Kaynak: </w:t>
      </w:r>
      <w:proofErr w:type="spellStart"/>
      <w:r w:rsidRPr="00591199">
        <w:rPr>
          <w:rFonts w:eastAsia="Times New Roman" w:cs="Times New Roman"/>
          <w:bCs/>
          <w:kern w:val="36"/>
          <w:sz w:val="18"/>
          <w:szCs w:val="24"/>
        </w:rPr>
        <w:t>Tüik</w:t>
      </w:r>
      <w:proofErr w:type="spellEnd"/>
    </w:p>
    <w:p w:rsidR="00B82173" w:rsidRPr="00B82173" w:rsidRDefault="00B82173">
      <w:pPr>
        <w:spacing w:after="0" w:line="240" w:lineRule="auto"/>
        <w:contextualSpacing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sectPr w:rsidR="00B82173" w:rsidRPr="00B82173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AC" w:rsidRDefault="00BE20AC" w:rsidP="00C04441">
      <w:pPr>
        <w:spacing w:after="0" w:line="240" w:lineRule="auto"/>
      </w:pPr>
      <w:r>
        <w:separator/>
      </w:r>
    </w:p>
  </w:endnote>
  <w:endnote w:type="continuationSeparator" w:id="0">
    <w:p w:rsidR="00BE20AC" w:rsidRDefault="00BE20AC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74264"/>
      <w:docPartObj>
        <w:docPartGallery w:val="Page Numbers (Bottom of Page)"/>
        <w:docPartUnique/>
      </w:docPartObj>
    </w:sdtPr>
    <w:sdtContent>
      <w:p w:rsidR="008E7F7A" w:rsidRDefault="00C81608">
        <w:pPr>
          <w:pStyle w:val="Altbilgi"/>
          <w:jc w:val="right"/>
        </w:pPr>
        <w:fldSimple w:instr=" PAGE   \* MERGEFORMAT ">
          <w:r w:rsidR="006521CD">
            <w:rPr>
              <w:noProof/>
            </w:rPr>
            <w:t>2</w:t>
          </w:r>
        </w:fldSimple>
      </w:p>
    </w:sdtContent>
  </w:sdt>
  <w:p w:rsidR="008E7F7A" w:rsidRDefault="008E7F7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AC" w:rsidRDefault="00BE20AC" w:rsidP="00C04441">
      <w:pPr>
        <w:spacing w:after="0" w:line="240" w:lineRule="auto"/>
      </w:pPr>
      <w:r>
        <w:separator/>
      </w:r>
    </w:p>
  </w:footnote>
  <w:footnote w:type="continuationSeparator" w:id="0">
    <w:p w:rsidR="00BE20AC" w:rsidRDefault="00BE20AC" w:rsidP="00C04441">
      <w:pPr>
        <w:spacing w:after="0" w:line="240" w:lineRule="auto"/>
      </w:pPr>
      <w:r>
        <w:continuationSeparator/>
      </w:r>
    </w:p>
  </w:footnote>
  <w:footnote w:id="1">
    <w:p w:rsidR="00D8766B" w:rsidRDefault="00D8766B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</w:t>
      </w:r>
      <w:r w:rsidR="00763689">
        <w:t>ndırılmış veriler kullanılmaktadır.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355"/>
    <w:rsid w:val="000376B0"/>
    <w:rsid w:val="00050388"/>
    <w:rsid w:val="00054542"/>
    <w:rsid w:val="00054929"/>
    <w:rsid w:val="000701FD"/>
    <w:rsid w:val="000B7EA9"/>
    <w:rsid w:val="000D18BE"/>
    <w:rsid w:val="000D7AFB"/>
    <w:rsid w:val="000F5B97"/>
    <w:rsid w:val="000F7730"/>
    <w:rsid w:val="00112C0F"/>
    <w:rsid w:val="001243A0"/>
    <w:rsid w:val="001273B1"/>
    <w:rsid w:val="00160C8F"/>
    <w:rsid w:val="001A0C10"/>
    <w:rsid w:val="001C493B"/>
    <w:rsid w:val="001E11A2"/>
    <w:rsid w:val="001E5A63"/>
    <w:rsid w:val="001F7633"/>
    <w:rsid w:val="00215555"/>
    <w:rsid w:val="0022515A"/>
    <w:rsid w:val="00227ACB"/>
    <w:rsid w:val="00230091"/>
    <w:rsid w:val="00233BD5"/>
    <w:rsid w:val="00236934"/>
    <w:rsid w:val="00246CBF"/>
    <w:rsid w:val="00253E29"/>
    <w:rsid w:val="00264515"/>
    <w:rsid w:val="002828B1"/>
    <w:rsid w:val="002A38E3"/>
    <w:rsid w:val="002A3E2F"/>
    <w:rsid w:val="002A6BBB"/>
    <w:rsid w:val="002B2CC6"/>
    <w:rsid w:val="002B53E4"/>
    <w:rsid w:val="002D3E19"/>
    <w:rsid w:val="002E2DA0"/>
    <w:rsid w:val="003101E4"/>
    <w:rsid w:val="00312018"/>
    <w:rsid w:val="003144CC"/>
    <w:rsid w:val="003164E4"/>
    <w:rsid w:val="0034114A"/>
    <w:rsid w:val="00347FB8"/>
    <w:rsid w:val="00351561"/>
    <w:rsid w:val="00353D82"/>
    <w:rsid w:val="00355562"/>
    <w:rsid w:val="00357954"/>
    <w:rsid w:val="003641B3"/>
    <w:rsid w:val="00393F9F"/>
    <w:rsid w:val="003A57CB"/>
    <w:rsid w:val="003C6277"/>
    <w:rsid w:val="003C63AB"/>
    <w:rsid w:val="003D22A0"/>
    <w:rsid w:val="003E06F6"/>
    <w:rsid w:val="003E6C6C"/>
    <w:rsid w:val="003F2715"/>
    <w:rsid w:val="004110A0"/>
    <w:rsid w:val="00424CC0"/>
    <w:rsid w:val="00432DF5"/>
    <w:rsid w:val="0043515F"/>
    <w:rsid w:val="00443EC5"/>
    <w:rsid w:val="00454BC0"/>
    <w:rsid w:val="004573D3"/>
    <w:rsid w:val="00461267"/>
    <w:rsid w:val="0046529E"/>
    <w:rsid w:val="00473C27"/>
    <w:rsid w:val="004746B3"/>
    <w:rsid w:val="004A6789"/>
    <w:rsid w:val="004C773D"/>
    <w:rsid w:val="004D42CE"/>
    <w:rsid w:val="004D49B1"/>
    <w:rsid w:val="004D5C8C"/>
    <w:rsid w:val="004D6276"/>
    <w:rsid w:val="00517288"/>
    <w:rsid w:val="00522A6C"/>
    <w:rsid w:val="005405F5"/>
    <w:rsid w:val="00544D61"/>
    <w:rsid w:val="00553466"/>
    <w:rsid w:val="00561094"/>
    <w:rsid w:val="00574C38"/>
    <w:rsid w:val="00591199"/>
    <w:rsid w:val="00593037"/>
    <w:rsid w:val="005A464C"/>
    <w:rsid w:val="005C53F8"/>
    <w:rsid w:val="005D3074"/>
    <w:rsid w:val="005D6645"/>
    <w:rsid w:val="005F3DE9"/>
    <w:rsid w:val="006020BD"/>
    <w:rsid w:val="00605C81"/>
    <w:rsid w:val="00636195"/>
    <w:rsid w:val="006521CD"/>
    <w:rsid w:val="00654C28"/>
    <w:rsid w:val="00677B0D"/>
    <w:rsid w:val="006B0438"/>
    <w:rsid w:val="006B22DE"/>
    <w:rsid w:val="006D41B5"/>
    <w:rsid w:val="0070186C"/>
    <w:rsid w:val="00720322"/>
    <w:rsid w:val="00731B2B"/>
    <w:rsid w:val="007330A1"/>
    <w:rsid w:val="00735D6D"/>
    <w:rsid w:val="007402FF"/>
    <w:rsid w:val="007441EB"/>
    <w:rsid w:val="007554B2"/>
    <w:rsid w:val="00756492"/>
    <w:rsid w:val="00763689"/>
    <w:rsid w:val="007736BE"/>
    <w:rsid w:val="00785D0D"/>
    <w:rsid w:val="007B58E6"/>
    <w:rsid w:val="007E566D"/>
    <w:rsid w:val="008024AC"/>
    <w:rsid w:val="00872283"/>
    <w:rsid w:val="008A575D"/>
    <w:rsid w:val="008C2C15"/>
    <w:rsid w:val="008C7F9E"/>
    <w:rsid w:val="008D1077"/>
    <w:rsid w:val="008D780D"/>
    <w:rsid w:val="008E7F7A"/>
    <w:rsid w:val="00907E0D"/>
    <w:rsid w:val="00923FD3"/>
    <w:rsid w:val="00935B34"/>
    <w:rsid w:val="0096459B"/>
    <w:rsid w:val="0097326C"/>
    <w:rsid w:val="009A6E86"/>
    <w:rsid w:val="009C6FF3"/>
    <w:rsid w:val="009F0A83"/>
    <w:rsid w:val="009F54F1"/>
    <w:rsid w:val="009F57D6"/>
    <w:rsid w:val="00A24D3D"/>
    <w:rsid w:val="00A274C7"/>
    <w:rsid w:val="00A372D5"/>
    <w:rsid w:val="00A43C04"/>
    <w:rsid w:val="00A705F6"/>
    <w:rsid w:val="00A77365"/>
    <w:rsid w:val="00A97C87"/>
    <w:rsid w:val="00AA3994"/>
    <w:rsid w:val="00AA3BF3"/>
    <w:rsid w:val="00AD2065"/>
    <w:rsid w:val="00AE1B17"/>
    <w:rsid w:val="00B21CDE"/>
    <w:rsid w:val="00B21E05"/>
    <w:rsid w:val="00B43784"/>
    <w:rsid w:val="00B53024"/>
    <w:rsid w:val="00B82173"/>
    <w:rsid w:val="00B8514B"/>
    <w:rsid w:val="00B94EA9"/>
    <w:rsid w:val="00BA2669"/>
    <w:rsid w:val="00BC294E"/>
    <w:rsid w:val="00BC5F10"/>
    <w:rsid w:val="00BE0133"/>
    <w:rsid w:val="00BE20AC"/>
    <w:rsid w:val="00C026C1"/>
    <w:rsid w:val="00C04441"/>
    <w:rsid w:val="00C144CC"/>
    <w:rsid w:val="00C21D8B"/>
    <w:rsid w:val="00C50E17"/>
    <w:rsid w:val="00C5430C"/>
    <w:rsid w:val="00C61DD1"/>
    <w:rsid w:val="00C81608"/>
    <w:rsid w:val="00C90F99"/>
    <w:rsid w:val="00C97AFA"/>
    <w:rsid w:val="00CB4E90"/>
    <w:rsid w:val="00CC2ADF"/>
    <w:rsid w:val="00CC7D5F"/>
    <w:rsid w:val="00D04088"/>
    <w:rsid w:val="00D2299D"/>
    <w:rsid w:val="00D23355"/>
    <w:rsid w:val="00D62B22"/>
    <w:rsid w:val="00D643BA"/>
    <w:rsid w:val="00D8766B"/>
    <w:rsid w:val="00D95A87"/>
    <w:rsid w:val="00DB1389"/>
    <w:rsid w:val="00DC5FDC"/>
    <w:rsid w:val="00DC7CC4"/>
    <w:rsid w:val="00DE7934"/>
    <w:rsid w:val="00DF0BA4"/>
    <w:rsid w:val="00E803BB"/>
    <w:rsid w:val="00EC082E"/>
    <w:rsid w:val="00EC419B"/>
    <w:rsid w:val="00EC4AA2"/>
    <w:rsid w:val="00ED0C91"/>
    <w:rsid w:val="00EE559E"/>
    <w:rsid w:val="00EF4E45"/>
    <w:rsid w:val="00F061D6"/>
    <w:rsid w:val="00F552A9"/>
    <w:rsid w:val="00F571D4"/>
    <w:rsid w:val="00F677CE"/>
    <w:rsid w:val="00F925BB"/>
    <w:rsid w:val="00FB59D2"/>
    <w:rsid w:val="00FD0F6A"/>
    <w:rsid w:val="00FD4EA4"/>
    <w:rsid w:val="00FD6CA4"/>
    <w:rsid w:val="00FD785A"/>
    <w:rsid w:val="00FE2D1A"/>
    <w:rsid w:val="00FE68E8"/>
    <w:rsid w:val="00FE6DC5"/>
    <w:rsid w:val="00FF1C3E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8E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7F7A"/>
    <w:rPr>
      <w:rFonts w:eastAsiaTheme="minorEastAsia"/>
      <w:lang w:val="tr-TR" w:eastAsia="tr-TR"/>
    </w:rPr>
  </w:style>
  <w:style w:type="character" w:styleId="Vurgu">
    <w:name w:val="Emphasis"/>
    <w:basedOn w:val="VarsaylanParagrafYazTipi"/>
    <w:uiPriority w:val="20"/>
    <w:qFormat/>
    <w:rsid w:val="001273B1"/>
    <w:rPr>
      <w:i/>
      <w:iCs/>
    </w:rPr>
  </w:style>
  <w:style w:type="character" w:customStyle="1" w:styleId="apple-converted-space">
    <w:name w:val="apple-converted-space"/>
    <w:basedOn w:val="VarsaylanParagrafYazTipi"/>
    <w:rsid w:val="00127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EPAV_\Sanayi%20&#220;retim%20Endeksi\2015\SUE_ma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EPAV_\Sanayi%20&#220;retim%20Endeksi\2015\SUE_ma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8.4439181102362218E-2"/>
          <c:y val="5.1400554097404488E-2"/>
          <c:w val="0.89782979527559159"/>
          <c:h val="0.72130886362940083"/>
        </c:manualLayout>
      </c:layout>
      <c:barChart>
        <c:barDir val="col"/>
        <c:grouping val="clustered"/>
        <c:ser>
          <c:idx val="0"/>
          <c:order val="0"/>
          <c:tx>
            <c:strRef>
              <c:f>Sayfa1!$C$4</c:f>
              <c:strCache>
                <c:ptCount val="1"/>
                <c:pt idx="0">
                  <c:v>2014</c:v>
                </c:pt>
              </c:strCache>
            </c:strRef>
          </c:tx>
          <c:dLbls>
            <c:showVal val="1"/>
          </c:dLbls>
          <c:cat>
            <c:strRef>
              <c:f>Sayfa1!$D$3:$O$3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Sayfa1!$D$4:$O$4</c:f>
              <c:numCache>
                <c:formatCode>0.0</c:formatCode>
                <c:ptCount val="12"/>
                <c:pt idx="0">
                  <c:v>121.42520613198876</c:v>
                </c:pt>
                <c:pt idx="1">
                  <c:v>120.75368702299465</c:v>
                </c:pt>
                <c:pt idx="2">
                  <c:v>119.19334601548783</c:v>
                </c:pt>
                <c:pt idx="3">
                  <c:v>120.70123720893626</c:v>
                </c:pt>
                <c:pt idx="4">
                  <c:v>118.63701520128032</c:v>
                </c:pt>
                <c:pt idx="5">
                  <c:v>119.27608129389395</c:v>
                </c:pt>
                <c:pt idx="6">
                  <c:v>121.51282435441284</c:v>
                </c:pt>
                <c:pt idx="7">
                  <c:v>119.45431770029893</c:v>
                </c:pt>
                <c:pt idx="8">
                  <c:v>122.87873983464922</c:v>
                </c:pt>
                <c:pt idx="9">
                  <c:v>120.49642188361555</c:v>
                </c:pt>
                <c:pt idx="10">
                  <c:v>120.42466378936849</c:v>
                </c:pt>
                <c:pt idx="11">
                  <c:v>121.38455461496646</c:v>
                </c:pt>
              </c:numCache>
            </c:numRef>
          </c:val>
        </c:ser>
        <c:ser>
          <c:idx val="1"/>
          <c:order val="1"/>
          <c:tx>
            <c:strRef>
              <c:f>Sayfa1!$C$5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124.8</a:t>
                    </a:r>
                  </a:p>
                </c:rich>
              </c:tx>
              <c:showVal val="1"/>
            </c:dLbl>
            <c:showVal val="1"/>
          </c:dLbls>
          <c:cat>
            <c:strRef>
              <c:f>Sayfa1!$D$3:$O$3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Sayfa1!$D$5:$O$5</c:f>
              <c:numCache>
                <c:formatCode>0.0</c:formatCode>
                <c:ptCount val="12"/>
                <c:pt idx="0">
                  <c:v>119.95978249102508</c:v>
                </c:pt>
                <c:pt idx="1">
                  <c:v>122.06465560111835</c:v>
                </c:pt>
                <c:pt idx="2">
                  <c:v>124.7632855447856</c:v>
                </c:pt>
              </c:numCache>
            </c:numRef>
          </c:val>
        </c:ser>
        <c:axId val="78226560"/>
        <c:axId val="78228096"/>
      </c:barChart>
      <c:catAx>
        <c:axId val="78226560"/>
        <c:scaling>
          <c:orientation val="minMax"/>
        </c:scaling>
        <c:axPos val="b"/>
        <c:tickLblPos val="nextTo"/>
        <c:crossAx val="78228096"/>
        <c:crosses val="autoZero"/>
        <c:auto val="1"/>
        <c:lblAlgn val="ctr"/>
        <c:lblOffset val="100"/>
      </c:catAx>
      <c:valAx>
        <c:axId val="78228096"/>
        <c:scaling>
          <c:orientation val="minMax"/>
          <c:max val="125"/>
        </c:scaling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" sourceLinked="1"/>
        <c:tickLblPos val="nextTo"/>
        <c:crossAx val="78226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093197725284425"/>
          <c:y val="0.92091243802858058"/>
          <c:w val="0.35629024496937883"/>
          <c:h val="7.4841790609507131E-2"/>
        </c:manualLayout>
      </c:layout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style val="4"/>
  <c:chart>
    <c:autoTitleDeleted val="1"/>
    <c:plotArea>
      <c:layout/>
      <c:lineChart>
        <c:grouping val="standard"/>
        <c:ser>
          <c:idx val="0"/>
          <c:order val="0"/>
          <c:tx>
            <c:strRef>
              <c:f>Sayfa1!$G$36</c:f>
              <c:strCache>
                <c:ptCount val="1"/>
                <c:pt idx="0">
                  <c:v>x</c:v>
                </c:pt>
              </c:strCache>
            </c:strRef>
          </c:tx>
          <c:marker>
            <c:symbol val="none"/>
          </c:marker>
          <c:dLbls>
            <c:dLbl>
              <c:idx val="5"/>
              <c:spPr/>
              <c:txPr>
                <a:bodyPr/>
                <a:lstStyle/>
                <a:p>
                  <a:pPr>
                    <a:defRPr b="1"/>
                  </a:pPr>
                  <a:endParaRPr lang="tr-TR"/>
                </a:p>
              </c:txPr>
            </c:dLbl>
            <c:showVal val="1"/>
          </c:dLbls>
          <c:cat>
            <c:numRef>
              <c:f>Sayfa1!$H$35:$M$35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Sayfa1!$H$36:$M$36</c:f>
              <c:numCache>
                <c:formatCode>0.0</c:formatCode>
                <c:ptCount val="6"/>
                <c:pt idx="0">
                  <c:v>98.088693907113296</c:v>
                </c:pt>
                <c:pt idx="1">
                  <c:v>108.85043755729635</c:v>
                </c:pt>
                <c:pt idx="2">
                  <c:v>112.67415043057423</c:v>
                </c:pt>
                <c:pt idx="3">
                  <c:v>114.53381788530778</c:v>
                </c:pt>
                <c:pt idx="4">
                  <c:v>119.19334601548783</c:v>
                </c:pt>
                <c:pt idx="5">
                  <c:v>124.7632855447856</c:v>
                </c:pt>
              </c:numCache>
            </c:numRef>
          </c:val>
        </c:ser>
        <c:marker val="1"/>
        <c:axId val="83124224"/>
        <c:axId val="79520512"/>
      </c:lineChart>
      <c:catAx>
        <c:axId val="8312422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tr-TR"/>
          </a:p>
        </c:txPr>
        <c:crossAx val="79520512"/>
        <c:crosses val="autoZero"/>
        <c:auto val="1"/>
        <c:lblAlgn val="ctr"/>
        <c:lblOffset val="100"/>
      </c:catAx>
      <c:valAx>
        <c:axId val="79520512"/>
        <c:scaling>
          <c:orientation val="minMax"/>
          <c:min val="95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tickLblPos val="nextTo"/>
        <c:crossAx val="831242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A5160-FA9C-41DB-AF31-34996926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</cp:lastModifiedBy>
  <cp:revision>27</cp:revision>
  <dcterms:created xsi:type="dcterms:W3CDTF">2015-05-11T14:09:00Z</dcterms:created>
  <dcterms:modified xsi:type="dcterms:W3CDTF">2015-05-11T18:02:00Z</dcterms:modified>
</cp:coreProperties>
</file>