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63"/>
        <w:gridCol w:w="4236"/>
      </w:tblGrid>
      <w:tr w:rsidR="00AD2065" w:rsidRPr="00246CBF" w:rsidTr="00D8766B">
        <w:trPr>
          <w:trHeight w:val="915"/>
        </w:trPr>
        <w:tc>
          <w:tcPr>
            <w:tcW w:w="5644" w:type="dxa"/>
            <w:vAlign w:val="center"/>
          </w:tcPr>
          <w:p w:rsidR="00907E0D" w:rsidRPr="00246CBF" w:rsidRDefault="004746B3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246CBF"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AD2065" w:rsidRPr="00246CBF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1A0C10" w:rsidRPr="00246CBF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="00AD2065" w:rsidRPr="00246CBF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Pr="00246CBF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246CBF"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Pr="00246CBF" w:rsidRDefault="001A0C10" w:rsidP="00FE2D1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246CB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 Nisan</w:t>
            </w:r>
            <w:r w:rsidR="003C6277" w:rsidRPr="00246CB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 w:rsidRPr="00246CB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 w:rsidRPr="00246CBF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 w:rsidRPr="00246CB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Pr="00246CBF" w:rsidRDefault="00AD2065" w:rsidP="00AD2065">
      <w:pPr>
        <w:pStyle w:val="stbilgi"/>
      </w:pPr>
    </w:p>
    <w:p w:rsidR="00AD2065" w:rsidRPr="00246CBF" w:rsidRDefault="00B43784" w:rsidP="00B43784">
      <w:pPr>
        <w:jc w:val="both"/>
        <w:rPr>
          <w:b/>
        </w:rPr>
      </w:pPr>
      <w:r w:rsidRPr="00246CBF">
        <w:rPr>
          <w:b/>
        </w:rPr>
        <w:t>Şubat</w:t>
      </w:r>
      <w:r w:rsidR="00C50E17" w:rsidRPr="00246CBF">
        <w:rPr>
          <w:b/>
        </w:rPr>
        <w:t xml:space="preserve"> 2015</w:t>
      </w:r>
      <w:r w:rsidR="00EF4E45" w:rsidRPr="00246CBF">
        <w:rPr>
          <w:b/>
        </w:rPr>
        <w:t xml:space="preserve"> </w:t>
      </w:r>
      <w:r w:rsidR="007B58E6" w:rsidRPr="00246CBF">
        <w:rPr>
          <w:b/>
        </w:rPr>
        <w:t>Sanayi Üretim Endeksi’ne</w:t>
      </w:r>
      <w:r w:rsidR="00EF4E45" w:rsidRPr="00246CBF">
        <w:rPr>
          <w:b/>
        </w:rPr>
        <w:t xml:space="preserve"> ilişkin veriler Türkiye İstat</w:t>
      </w:r>
      <w:r w:rsidR="007441EB" w:rsidRPr="00246CBF">
        <w:rPr>
          <w:b/>
        </w:rPr>
        <w:t xml:space="preserve">istik Kurumu (TÜİK) tarafından </w:t>
      </w:r>
      <w:r w:rsidR="001A0C10" w:rsidRPr="00246CBF">
        <w:rPr>
          <w:b/>
        </w:rPr>
        <w:t>8 Nisan 2015</w:t>
      </w:r>
      <w:r w:rsidR="00EF4E45" w:rsidRPr="00246CBF">
        <w:rPr>
          <w:b/>
        </w:rPr>
        <w:t xml:space="preserve"> tarihinde yayımlandı.</w:t>
      </w:r>
    </w:p>
    <w:p w:rsidR="000D7AFB" w:rsidRPr="00246CBF" w:rsidRDefault="00EF4E45" w:rsidP="00EF4E45">
      <w:r w:rsidRPr="00246CBF">
        <w:t xml:space="preserve">TÜİK tarafından aylık yayımlanan </w:t>
      </w:r>
      <w:r w:rsidR="007B58E6" w:rsidRPr="00246CBF">
        <w:t>Sanayi Üretim Endeksi</w:t>
      </w:r>
      <w:r w:rsidRPr="00246CBF">
        <w:t>,</w:t>
      </w:r>
      <w:r w:rsidR="007B58E6" w:rsidRPr="00246CBF">
        <w:t xml:space="preserve"> Türkiye’deki sanayi kuruluşlarının toplam üretiminin</w:t>
      </w:r>
      <w:r w:rsidRPr="00246CBF">
        <w:t xml:space="preserve"> zaman içindeki değişim</w:t>
      </w:r>
      <w:r w:rsidR="007B58E6" w:rsidRPr="00246CBF">
        <w:t>i</w:t>
      </w:r>
      <w:r w:rsidRPr="00246CBF">
        <w:t xml:space="preserve"> hakkında bilgi vermektedir.</w:t>
      </w:r>
      <w:r w:rsidR="00522A6C" w:rsidRPr="00246CBF">
        <w:rPr>
          <w:rStyle w:val="DipnotBavurusu"/>
        </w:rPr>
        <w:footnoteReference w:id="1"/>
      </w:r>
    </w:p>
    <w:p w:rsidR="00FD0F6A" w:rsidRPr="00246CBF" w:rsidRDefault="0043515F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246CBF"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 w:rsidRPr="00246CBF">
        <w:rPr>
          <w:rFonts w:eastAsia="Times New Roman" w:cs="Times New Roman"/>
          <w:b/>
          <w:bCs/>
          <w:kern w:val="36"/>
          <w:sz w:val="24"/>
          <w:szCs w:val="24"/>
        </w:rPr>
        <w:t>Aylara göre sanayi üretim endeksi</w:t>
      </w:r>
      <w:r w:rsidR="005A464C" w:rsidRPr="00246CBF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FD0F6A" w:rsidRPr="00246CBF"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FD0F6A" w:rsidRPr="00246CBF" w:rsidRDefault="00227ACB" w:rsidP="00227ACB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 w:rsidRPr="00246CBF">
        <w:rPr>
          <w:rFonts w:eastAsia="Times New Roman" w:cs="Times New Roman"/>
          <w:b/>
          <w:bCs/>
          <w:kern w:val="36"/>
          <w:sz w:val="28"/>
          <w:szCs w:val="24"/>
        </w:rPr>
        <w:drawing>
          <wp:inline distT="0" distB="0" distL="0" distR="0">
            <wp:extent cx="5972810" cy="2287270"/>
            <wp:effectExtent l="1905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54B2" w:rsidRPr="00246CBF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246CBF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246CBF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Pr="00246CBF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C144CC" w:rsidRDefault="00BE0133" w:rsidP="005A464C">
      <w:pPr>
        <w:spacing w:after="0" w:line="240" w:lineRule="auto"/>
        <w:jc w:val="both"/>
        <w:rPr>
          <w:color w:val="000000" w:themeColor="text1"/>
        </w:rPr>
      </w:pPr>
      <w:r w:rsidRPr="00246CBF">
        <w:rPr>
          <w:color w:val="000000" w:themeColor="text1"/>
        </w:rPr>
        <w:t>Şubat</w:t>
      </w:r>
      <w:r w:rsidR="00A43C04" w:rsidRPr="00246CBF">
        <w:rPr>
          <w:color w:val="000000" w:themeColor="text1"/>
        </w:rPr>
        <w:t xml:space="preserve"> </w:t>
      </w:r>
      <w:r w:rsidR="00574C38" w:rsidRPr="00246CBF">
        <w:rPr>
          <w:color w:val="000000" w:themeColor="text1"/>
        </w:rPr>
        <w:t xml:space="preserve">ayında Türkiye (TR) Geneli </w:t>
      </w:r>
      <w:r w:rsidR="007B58E6" w:rsidRPr="00246CBF">
        <w:rPr>
          <w:color w:val="000000" w:themeColor="text1"/>
        </w:rPr>
        <w:t>Sanayi Üretim Endeksi</w:t>
      </w:r>
      <w:r w:rsidR="00574C38" w:rsidRPr="00246CBF">
        <w:rPr>
          <w:color w:val="000000" w:themeColor="text1"/>
        </w:rPr>
        <w:t xml:space="preserve"> </w:t>
      </w:r>
      <w:r w:rsidR="00574C38" w:rsidRPr="00246CBF">
        <w:rPr>
          <w:b/>
          <w:color w:val="000000" w:themeColor="text1"/>
          <w:u w:val="single"/>
        </w:rPr>
        <w:t>bir önceki aya (</w:t>
      </w:r>
      <w:r w:rsidR="00D62B22" w:rsidRPr="00246CBF">
        <w:rPr>
          <w:b/>
          <w:color w:val="000000" w:themeColor="text1"/>
          <w:u w:val="single"/>
        </w:rPr>
        <w:t>Ocak</w:t>
      </w:r>
      <w:r w:rsidR="00C50E17" w:rsidRPr="00246CBF">
        <w:rPr>
          <w:b/>
          <w:color w:val="000000" w:themeColor="text1"/>
          <w:u w:val="single"/>
        </w:rPr>
        <w:t xml:space="preserve"> 2015</w:t>
      </w:r>
      <w:r w:rsidR="00574C38" w:rsidRPr="00246CBF">
        <w:rPr>
          <w:b/>
          <w:color w:val="000000" w:themeColor="text1"/>
          <w:u w:val="single"/>
        </w:rPr>
        <w:t xml:space="preserve">) </w:t>
      </w:r>
      <w:r w:rsidR="00574C38" w:rsidRPr="00246CBF">
        <w:rPr>
          <w:color w:val="000000" w:themeColor="text1"/>
          <w:u w:val="single"/>
        </w:rPr>
        <w:t>göre</w:t>
      </w:r>
      <w:r w:rsidRPr="00246CBF">
        <w:rPr>
          <w:color w:val="000000" w:themeColor="text1"/>
          <w:u w:val="single"/>
        </w:rPr>
        <w:t xml:space="preserve"> artışa geçerek</w:t>
      </w:r>
      <w:r w:rsidRPr="00246CBF">
        <w:rPr>
          <w:b/>
          <w:color w:val="000000" w:themeColor="text1"/>
          <w:u w:val="single"/>
        </w:rPr>
        <w:t xml:space="preserve"> </w:t>
      </w:r>
      <w:r w:rsidRPr="00246CBF">
        <w:rPr>
          <w:color w:val="000000" w:themeColor="text1"/>
        </w:rPr>
        <w:t>yüzde</w:t>
      </w:r>
      <w:r w:rsidR="00574C38" w:rsidRPr="00246CBF">
        <w:rPr>
          <w:color w:val="000000" w:themeColor="text1"/>
        </w:rPr>
        <w:t xml:space="preserve"> </w:t>
      </w:r>
      <w:r w:rsidRPr="00246CBF">
        <w:rPr>
          <w:color w:val="000000" w:themeColor="text1"/>
        </w:rPr>
        <w:t>1,</w:t>
      </w:r>
      <w:r w:rsidR="00AA3BF3" w:rsidRPr="00246CBF">
        <w:rPr>
          <w:color w:val="000000" w:themeColor="text1"/>
        </w:rPr>
        <w:t>7</w:t>
      </w:r>
      <w:r w:rsidR="00FD0F6A" w:rsidRPr="00246CBF">
        <w:rPr>
          <w:color w:val="000000" w:themeColor="text1"/>
        </w:rPr>
        <w:t xml:space="preserve"> </w:t>
      </w:r>
      <w:r w:rsidRPr="00246CBF">
        <w:rPr>
          <w:color w:val="000000" w:themeColor="text1"/>
        </w:rPr>
        <w:t>artış</w:t>
      </w:r>
      <w:r w:rsidR="00FE2D1A" w:rsidRPr="00246CBF">
        <w:rPr>
          <w:color w:val="000000" w:themeColor="text1"/>
        </w:rPr>
        <w:t xml:space="preserve"> </w:t>
      </w:r>
      <w:r w:rsidR="00FD0F6A" w:rsidRPr="00246CBF">
        <w:rPr>
          <w:color w:val="000000" w:themeColor="text1"/>
        </w:rPr>
        <w:t>göstermiştir</w:t>
      </w:r>
      <w:r w:rsidRPr="00246CBF">
        <w:rPr>
          <w:color w:val="000000" w:themeColor="text1"/>
        </w:rPr>
        <w:t xml:space="preserve"> ve </w:t>
      </w:r>
      <w:r w:rsidR="002A3E2F" w:rsidRPr="00246CBF">
        <w:rPr>
          <w:color w:val="000000" w:themeColor="text1"/>
        </w:rPr>
        <w:t>121,6</w:t>
      </w:r>
      <w:r w:rsidRPr="00246CBF">
        <w:rPr>
          <w:color w:val="000000" w:themeColor="text1"/>
        </w:rPr>
        <w:t xml:space="preserve"> değerini almıştır</w:t>
      </w:r>
      <w:r w:rsidR="00574C38" w:rsidRPr="00246CBF">
        <w:rPr>
          <w:color w:val="000000" w:themeColor="text1"/>
        </w:rPr>
        <w:t>.</w:t>
      </w:r>
      <w:r w:rsidR="0046529E" w:rsidRPr="00246CBF">
        <w:rPr>
          <w:color w:val="000000" w:themeColor="text1"/>
        </w:rPr>
        <w:t xml:space="preserve"> Endeks </w:t>
      </w:r>
      <w:r w:rsidR="002A3E2F" w:rsidRPr="00246CBF">
        <w:rPr>
          <w:color w:val="000000" w:themeColor="text1"/>
        </w:rPr>
        <w:t>121,6</w:t>
      </w:r>
      <w:r w:rsidR="0046529E" w:rsidRPr="00246CBF">
        <w:rPr>
          <w:color w:val="000000" w:themeColor="text1"/>
        </w:rPr>
        <w:t xml:space="preserve"> ile geçen senenin aynı ayında </w:t>
      </w:r>
      <w:r w:rsidR="002A3E2F" w:rsidRPr="00246CBF">
        <w:rPr>
          <w:color w:val="000000" w:themeColor="text1"/>
        </w:rPr>
        <w:t>120,5</w:t>
      </w:r>
      <w:r w:rsidR="0046529E" w:rsidRPr="00246CBF">
        <w:rPr>
          <w:color w:val="000000" w:themeColor="text1"/>
        </w:rPr>
        <w:t xml:space="preserve"> olan değerini de geçmiştir.</w:t>
      </w:r>
      <w:r w:rsidR="00574C38" w:rsidRPr="00246CBF">
        <w:rPr>
          <w:color w:val="000000" w:themeColor="text1"/>
        </w:rPr>
        <w:t xml:space="preserve"> </w:t>
      </w:r>
      <w:r w:rsidRPr="00246CBF">
        <w:rPr>
          <w:color w:val="000000" w:themeColor="text1"/>
        </w:rPr>
        <w:t>Şubat</w:t>
      </w:r>
      <w:r w:rsidR="00CB4E90" w:rsidRPr="00246CBF">
        <w:rPr>
          <w:color w:val="000000" w:themeColor="text1"/>
        </w:rPr>
        <w:t xml:space="preserve"> (2015</w:t>
      </w:r>
      <w:r w:rsidR="00574C38" w:rsidRPr="00246CBF">
        <w:rPr>
          <w:color w:val="000000" w:themeColor="text1"/>
        </w:rPr>
        <w:t>) ayında</w:t>
      </w:r>
      <w:r w:rsidR="00351561" w:rsidRPr="00246CBF">
        <w:rPr>
          <w:color w:val="000000" w:themeColor="text1"/>
        </w:rPr>
        <w:t xml:space="preserve"> önceki aya göre</w:t>
      </w:r>
      <w:r w:rsidR="00574C38" w:rsidRPr="00246CBF">
        <w:rPr>
          <w:color w:val="000000" w:themeColor="text1"/>
        </w:rPr>
        <w:t xml:space="preserve"> ana </w:t>
      </w:r>
      <w:r w:rsidR="007B58E6" w:rsidRPr="00246CBF">
        <w:rPr>
          <w:color w:val="000000" w:themeColor="text1"/>
        </w:rPr>
        <w:t>sanayi</w:t>
      </w:r>
      <w:r w:rsidR="00574C38" w:rsidRPr="00246CBF">
        <w:rPr>
          <w:color w:val="000000" w:themeColor="text1"/>
        </w:rPr>
        <w:t xml:space="preserve"> </w:t>
      </w:r>
      <w:r w:rsidR="00C04441" w:rsidRPr="00246CBF">
        <w:rPr>
          <w:color w:val="000000" w:themeColor="text1"/>
        </w:rPr>
        <w:t>sektörleri</w:t>
      </w:r>
      <w:r w:rsidR="00574C38" w:rsidRPr="00246CBF">
        <w:rPr>
          <w:color w:val="000000" w:themeColor="text1"/>
        </w:rPr>
        <w:t xml:space="preserve"> itibariyle </w:t>
      </w:r>
      <w:r w:rsidR="00D95A87" w:rsidRPr="00246CBF">
        <w:rPr>
          <w:color w:val="000000" w:themeColor="text1"/>
        </w:rPr>
        <w:t>düşüş yaşanmamıştır. Hem bir önceki ay hem de bir önceki yıla göre ana sanayi sektörlerinde düşüş yaşanmamıştır. E</w:t>
      </w:r>
      <w:r w:rsidR="00574C38" w:rsidRPr="00246CBF">
        <w:rPr>
          <w:color w:val="000000" w:themeColor="text1"/>
        </w:rPr>
        <w:t xml:space="preserve">n </w:t>
      </w:r>
      <w:r w:rsidR="00D95A87" w:rsidRPr="00246CBF">
        <w:rPr>
          <w:color w:val="000000" w:themeColor="text1"/>
        </w:rPr>
        <w:t>az artış</w:t>
      </w:r>
      <w:r w:rsidR="00574C38" w:rsidRPr="00246CBF">
        <w:rPr>
          <w:color w:val="000000" w:themeColor="text1"/>
        </w:rPr>
        <w:t xml:space="preserve"> yüzde </w:t>
      </w:r>
      <w:r w:rsidR="00D95A87" w:rsidRPr="00246CBF">
        <w:rPr>
          <w:color w:val="000000" w:themeColor="text1"/>
        </w:rPr>
        <w:t>0,3</w:t>
      </w:r>
      <w:r w:rsidR="00574C38" w:rsidRPr="00246CBF">
        <w:rPr>
          <w:color w:val="000000" w:themeColor="text1"/>
        </w:rPr>
        <w:t xml:space="preserve"> ile</w:t>
      </w:r>
      <w:r w:rsidR="007B58E6" w:rsidRPr="00246CBF">
        <w:rPr>
          <w:color w:val="000000" w:themeColor="text1"/>
        </w:rPr>
        <w:t xml:space="preserve"> </w:t>
      </w:r>
      <w:r w:rsidR="00D95A87" w:rsidRPr="00246CBF">
        <w:rPr>
          <w:rFonts w:ascii="Calibri" w:eastAsia="Times New Roman" w:hAnsi="Calibri" w:cs="Times New Roman"/>
          <w:color w:val="000000" w:themeColor="text1"/>
        </w:rPr>
        <w:t xml:space="preserve">Elektrik, Gaz, Buhar ve İklimlendirme üretiminde olmuştur. </w:t>
      </w:r>
      <w:r w:rsidR="00D95A87" w:rsidRPr="00246CBF">
        <w:rPr>
          <w:color w:val="000000" w:themeColor="text1"/>
        </w:rPr>
        <w:t xml:space="preserve">Bir önceki aya göre en fazla artış ise yüzde </w:t>
      </w:r>
      <w:r w:rsidR="002A3E2F" w:rsidRPr="00246CBF">
        <w:rPr>
          <w:color w:val="000000" w:themeColor="text1"/>
        </w:rPr>
        <w:t>5,8</w:t>
      </w:r>
      <w:r w:rsidR="00D95A87" w:rsidRPr="00246CBF">
        <w:rPr>
          <w:color w:val="000000" w:themeColor="text1"/>
        </w:rPr>
        <w:t xml:space="preserve"> ile </w:t>
      </w:r>
      <w:r w:rsidR="0034114A" w:rsidRPr="00246CBF">
        <w:rPr>
          <w:color w:val="000000" w:themeColor="text1"/>
        </w:rPr>
        <w:t xml:space="preserve">madencilik ve taş ocakçılığı </w:t>
      </w:r>
      <w:r w:rsidR="007B58E6" w:rsidRPr="00246CBF">
        <w:rPr>
          <w:color w:val="000000" w:themeColor="text1"/>
        </w:rPr>
        <w:t>üretim</w:t>
      </w:r>
      <w:r w:rsidR="00D95A87" w:rsidRPr="00246CBF">
        <w:rPr>
          <w:color w:val="000000" w:themeColor="text1"/>
        </w:rPr>
        <w:t xml:space="preserve">inde yaşanmıştır. İmalat sanayi üretim endeksi ise bir önceki aya göre yüzde </w:t>
      </w:r>
      <w:r w:rsidR="002A3E2F" w:rsidRPr="00246CBF">
        <w:rPr>
          <w:color w:val="000000" w:themeColor="text1"/>
        </w:rPr>
        <w:t>1,7</w:t>
      </w:r>
      <w:r w:rsidR="00D95A87" w:rsidRPr="00246CBF">
        <w:rPr>
          <w:color w:val="000000" w:themeColor="text1"/>
        </w:rPr>
        <w:t xml:space="preserve"> bir önceki yıla göre ise yüzde </w:t>
      </w:r>
      <w:r w:rsidR="002A3E2F" w:rsidRPr="00246CBF">
        <w:rPr>
          <w:color w:val="000000" w:themeColor="text1"/>
        </w:rPr>
        <w:t>0,6</w:t>
      </w:r>
      <w:r w:rsidR="00D95A87" w:rsidRPr="00246CBF">
        <w:rPr>
          <w:color w:val="000000" w:themeColor="text1"/>
        </w:rPr>
        <w:t xml:space="preserve"> artmıştır.</w:t>
      </w:r>
    </w:p>
    <w:p w:rsidR="002A3E2F" w:rsidRPr="00246CBF" w:rsidRDefault="002A3E2F" w:rsidP="005A464C">
      <w:pPr>
        <w:spacing w:after="0" w:line="240" w:lineRule="auto"/>
        <w:jc w:val="both"/>
        <w:rPr>
          <w:color w:val="000000" w:themeColor="text1"/>
        </w:rPr>
      </w:pPr>
    </w:p>
    <w:p w:rsidR="0096459B" w:rsidRPr="00246CBF" w:rsidRDefault="0096459B" w:rsidP="0096459B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246CBF">
        <w:rPr>
          <w:rFonts w:eastAsia="Times New Roman" w:cs="Times New Roman"/>
          <w:b/>
          <w:bCs/>
          <w:kern w:val="36"/>
          <w:sz w:val="24"/>
          <w:szCs w:val="24"/>
        </w:rPr>
        <w:t>Tablo 1: Ana sanayi gruplarına göre sanayi üretim endeksi büyüme ve değişim oranları(2010=100), Şubat 2015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0"/>
        <w:gridCol w:w="2060"/>
        <w:gridCol w:w="2060"/>
      </w:tblGrid>
      <w:tr w:rsidR="0096459B" w:rsidRPr="00593037" w:rsidTr="008E023E">
        <w:trPr>
          <w:trHeight w:val="31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93037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93037">
              <w:rPr>
                <w:rFonts w:ascii="Calibri" w:eastAsia="Times New Roman" w:hAnsi="Calibri" w:cs="Times New Roman"/>
                <w:b/>
                <w:bCs/>
              </w:rPr>
              <w:t>Önceki Aya Göre (%)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93037">
              <w:rPr>
                <w:rFonts w:ascii="Calibri" w:eastAsia="Times New Roman" w:hAnsi="Calibri" w:cs="Times New Roman"/>
                <w:b/>
                <w:bCs/>
              </w:rPr>
              <w:t>Önceki Yıla Göre (%)</w:t>
            </w:r>
          </w:p>
        </w:tc>
      </w:tr>
      <w:tr w:rsidR="0096459B" w:rsidRPr="00593037" w:rsidTr="008E023E">
        <w:trPr>
          <w:trHeight w:val="31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93037">
              <w:rPr>
                <w:rFonts w:ascii="Calibri" w:eastAsia="Times New Roman" w:hAnsi="Calibri" w:cs="Times New Roman"/>
              </w:rPr>
              <w:t>Madencilik ve Taşocakçılığı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93037">
              <w:rPr>
                <w:rFonts w:ascii="Calibri" w:eastAsia="Times New Roman" w:hAnsi="Calibri" w:cs="Times New Roman"/>
                <w:sz w:val="20"/>
                <w:szCs w:val="20"/>
              </w:rPr>
              <w:t>5.8%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93037">
              <w:rPr>
                <w:rFonts w:ascii="Calibri" w:eastAsia="Times New Roman" w:hAnsi="Calibri" w:cs="Times New Roman"/>
                <w:sz w:val="20"/>
                <w:szCs w:val="20"/>
              </w:rPr>
              <w:t>0.6%</w:t>
            </w:r>
          </w:p>
        </w:tc>
      </w:tr>
      <w:tr w:rsidR="0096459B" w:rsidRPr="00593037" w:rsidTr="008E023E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93037">
              <w:rPr>
                <w:rFonts w:ascii="Calibri" w:eastAsia="Times New Roman" w:hAnsi="Calibri" w:cs="Times New Roman"/>
              </w:rPr>
              <w:t>İmalat Sanayi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93037">
              <w:rPr>
                <w:rFonts w:ascii="Calibri" w:eastAsia="Times New Roman" w:hAnsi="Calibri" w:cs="Times New Roman"/>
                <w:sz w:val="20"/>
                <w:szCs w:val="20"/>
              </w:rPr>
              <w:t>1.7%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93037">
              <w:rPr>
                <w:rFonts w:ascii="Calibri" w:eastAsia="Times New Roman" w:hAnsi="Calibri" w:cs="Times New Roman"/>
                <w:sz w:val="20"/>
                <w:szCs w:val="20"/>
              </w:rPr>
              <w:t>0.6%</w:t>
            </w:r>
          </w:p>
        </w:tc>
      </w:tr>
      <w:tr w:rsidR="0096459B" w:rsidRPr="00593037" w:rsidTr="008E023E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93037">
              <w:rPr>
                <w:rFonts w:ascii="Calibri" w:eastAsia="Times New Roman" w:hAnsi="Calibri" w:cs="Times New Roman"/>
              </w:rPr>
              <w:t>Elektrik, Gaz, Buhar ve İklimlendirme Üretimi ve Dağıtımı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93037">
              <w:rPr>
                <w:rFonts w:ascii="Calibri" w:eastAsia="Times New Roman" w:hAnsi="Calibri" w:cs="Times New Roman"/>
                <w:sz w:val="20"/>
                <w:szCs w:val="20"/>
              </w:rPr>
              <w:t>0.3%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93037">
              <w:rPr>
                <w:rFonts w:ascii="Calibri" w:eastAsia="Times New Roman" w:hAnsi="Calibri" w:cs="Times New Roman"/>
                <w:sz w:val="20"/>
                <w:szCs w:val="20"/>
              </w:rPr>
              <w:t>3.3%</w:t>
            </w:r>
          </w:p>
        </w:tc>
      </w:tr>
      <w:tr w:rsidR="0096459B" w:rsidRPr="00593037" w:rsidTr="008E023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93037">
              <w:rPr>
                <w:rFonts w:ascii="Calibri" w:eastAsia="Times New Roman" w:hAnsi="Calibri" w:cs="Times New Roman"/>
                <w:b/>
                <w:bCs/>
              </w:rPr>
              <w:t>TOPLAM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93037">
              <w:rPr>
                <w:rFonts w:ascii="Calibri" w:eastAsia="Times New Roman" w:hAnsi="Calibri" w:cs="Times New Roman"/>
                <w:b/>
              </w:rPr>
              <w:t>1.7%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59B" w:rsidRPr="0059303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93037">
              <w:rPr>
                <w:rFonts w:ascii="Calibri" w:eastAsia="Times New Roman" w:hAnsi="Calibri" w:cs="Times New Roman"/>
                <w:b/>
              </w:rPr>
              <w:t>0.6%</w:t>
            </w:r>
          </w:p>
        </w:tc>
      </w:tr>
    </w:tbl>
    <w:p w:rsidR="0096459B" w:rsidRPr="00246CBF" w:rsidRDefault="0096459B" w:rsidP="0096459B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246CBF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246CBF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B58E6" w:rsidRPr="00246CBF" w:rsidRDefault="00C04441" w:rsidP="007B58E6">
      <w:pPr>
        <w:jc w:val="both"/>
        <w:rPr>
          <w:color w:val="000000" w:themeColor="text1"/>
        </w:rPr>
      </w:pPr>
      <w:r w:rsidRPr="00246CBF">
        <w:rPr>
          <w:color w:val="000000" w:themeColor="text1"/>
        </w:rPr>
        <w:t>Ana sanayi gruplarına</w:t>
      </w:r>
      <w:r w:rsidR="007B58E6" w:rsidRPr="00246CBF">
        <w:rPr>
          <w:color w:val="000000" w:themeColor="text1"/>
        </w:rPr>
        <w:t xml:space="preserve"> bakıldığında </w:t>
      </w:r>
      <w:r w:rsidR="00872283" w:rsidRPr="00246CBF">
        <w:rPr>
          <w:color w:val="000000" w:themeColor="text1"/>
        </w:rPr>
        <w:t>artışta</w:t>
      </w:r>
      <w:r w:rsidR="007B58E6" w:rsidRPr="00246CBF">
        <w:rPr>
          <w:color w:val="000000" w:themeColor="text1"/>
        </w:rPr>
        <w:t xml:space="preserve"> </w:t>
      </w:r>
      <w:r w:rsidR="004D49B1" w:rsidRPr="00246CBF">
        <w:rPr>
          <w:color w:val="000000" w:themeColor="text1"/>
        </w:rPr>
        <w:t>dayanıklı</w:t>
      </w:r>
      <w:r w:rsidR="007B58E6" w:rsidRPr="00246CBF">
        <w:rPr>
          <w:color w:val="000000" w:themeColor="text1"/>
        </w:rPr>
        <w:t xml:space="preserve"> tüketim</w:t>
      </w:r>
      <w:r w:rsidR="00347FB8" w:rsidRPr="00246CBF">
        <w:rPr>
          <w:color w:val="000000" w:themeColor="text1"/>
        </w:rPr>
        <w:t xml:space="preserve"> malı</w:t>
      </w:r>
      <w:r w:rsidR="004D49B1" w:rsidRPr="00246CBF">
        <w:rPr>
          <w:color w:val="000000" w:themeColor="text1"/>
        </w:rPr>
        <w:t xml:space="preserve">, dayanıksız tüketim malı ve </w:t>
      </w:r>
      <w:r w:rsidR="00872283" w:rsidRPr="00246CBF">
        <w:rPr>
          <w:color w:val="000000" w:themeColor="text1"/>
        </w:rPr>
        <w:t xml:space="preserve">enerji sektörü imalatının </w:t>
      </w:r>
      <w:r w:rsidR="00735D6D" w:rsidRPr="00246CBF">
        <w:rPr>
          <w:color w:val="000000" w:themeColor="text1"/>
        </w:rPr>
        <w:t>artışta</w:t>
      </w:r>
      <w:r w:rsidR="007B58E6" w:rsidRPr="00246CBF">
        <w:rPr>
          <w:color w:val="000000" w:themeColor="text1"/>
        </w:rPr>
        <w:t xml:space="preserve"> etkisi oldu</w:t>
      </w:r>
      <w:r w:rsidR="00FD0F6A" w:rsidRPr="00246CBF">
        <w:rPr>
          <w:color w:val="000000" w:themeColor="text1"/>
        </w:rPr>
        <w:t>ğu görülmektedir</w:t>
      </w:r>
      <w:r w:rsidR="007B58E6" w:rsidRPr="00246CBF">
        <w:rPr>
          <w:color w:val="000000" w:themeColor="text1"/>
        </w:rPr>
        <w:t>.</w:t>
      </w:r>
      <w:r w:rsidR="00B8514B" w:rsidRPr="00246CBF">
        <w:rPr>
          <w:color w:val="000000" w:themeColor="text1"/>
        </w:rPr>
        <w:t xml:space="preserve"> </w:t>
      </w:r>
      <w:r w:rsidR="00872283" w:rsidRPr="00246CBF">
        <w:rPr>
          <w:color w:val="000000" w:themeColor="text1"/>
        </w:rPr>
        <w:t>Bir önceki aya göre a</w:t>
      </w:r>
      <w:r w:rsidR="00735D6D" w:rsidRPr="00246CBF">
        <w:rPr>
          <w:color w:val="000000" w:themeColor="text1"/>
        </w:rPr>
        <w:t xml:space="preserve">na sanayi gruplarından </w:t>
      </w:r>
      <w:r w:rsidR="00872283" w:rsidRPr="00246CBF">
        <w:rPr>
          <w:color w:val="000000" w:themeColor="text1"/>
        </w:rPr>
        <w:t xml:space="preserve">hiç birinde sanayi üretim endeksinde azalma olmamıştır. </w:t>
      </w:r>
      <w:r w:rsidR="004573D3" w:rsidRPr="00246CBF">
        <w:rPr>
          <w:color w:val="000000" w:themeColor="text1"/>
        </w:rPr>
        <w:t xml:space="preserve">Bir önceki aya göre en fazla artış ise yüzde </w:t>
      </w:r>
      <w:r w:rsidR="002A3E2F" w:rsidRPr="00246CBF">
        <w:rPr>
          <w:color w:val="000000" w:themeColor="text1"/>
        </w:rPr>
        <w:t>6,6</w:t>
      </w:r>
      <w:r w:rsidR="004573D3" w:rsidRPr="00246CBF">
        <w:rPr>
          <w:color w:val="000000" w:themeColor="text1"/>
        </w:rPr>
        <w:t xml:space="preserve"> ile dayanıklı tüketim ürünleri imalatında olmuştur.  </w:t>
      </w:r>
      <w:r w:rsidR="00B8514B" w:rsidRPr="00246CBF">
        <w:rPr>
          <w:color w:val="000000" w:themeColor="text1"/>
        </w:rPr>
        <w:t xml:space="preserve">İmalat Sanayi Kapasite Kullanım Oranları (KKO-MA), </w:t>
      </w:r>
      <w:r w:rsidR="00F552A9" w:rsidRPr="00246CBF">
        <w:rPr>
          <w:color w:val="000000" w:themeColor="text1"/>
        </w:rPr>
        <w:t xml:space="preserve">ise </w:t>
      </w:r>
      <w:r w:rsidR="005D3074" w:rsidRPr="00246CBF">
        <w:rPr>
          <w:rStyle w:val="Vurgu"/>
          <w:rFonts w:cs="Arial"/>
          <w:bCs/>
          <w:i w:val="0"/>
          <w:iCs w:val="0"/>
          <w:color w:val="000000" w:themeColor="text1"/>
          <w:shd w:val="clear" w:color="auto" w:fill="FFFFFF"/>
        </w:rPr>
        <w:t>şubat</w:t>
      </w:r>
      <w:r w:rsidR="001273B1" w:rsidRPr="00246CBF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="001273B1" w:rsidRPr="00246CBF">
        <w:rPr>
          <w:rFonts w:cs="Arial"/>
          <w:color w:val="000000" w:themeColor="text1"/>
          <w:shd w:val="clear" w:color="auto" w:fill="FFFFFF"/>
        </w:rPr>
        <w:t>ayında bir önceki aya</w:t>
      </w:r>
      <w:r w:rsidR="005D3074" w:rsidRPr="00246CBF">
        <w:rPr>
          <w:rFonts w:cs="Arial"/>
          <w:color w:val="000000" w:themeColor="text1"/>
          <w:shd w:val="clear" w:color="auto" w:fill="FFFFFF"/>
        </w:rPr>
        <w:t xml:space="preserve"> göre 1,2 puan azalarak yüzde 72,8</w:t>
      </w:r>
      <w:r w:rsidR="001273B1" w:rsidRPr="00246CBF">
        <w:rPr>
          <w:rFonts w:cs="Arial"/>
          <w:color w:val="000000" w:themeColor="text1"/>
          <w:shd w:val="clear" w:color="auto" w:fill="FFFFFF"/>
        </w:rPr>
        <w:t xml:space="preserve"> seviyesinde indi.</w:t>
      </w:r>
    </w:p>
    <w:p w:rsidR="0096459B" w:rsidRPr="00246CBF" w:rsidRDefault="0096459B" w:rsidP="0096459B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246CBF">
        <w:rPr>
          <w:rFonts w:eastAsia="Times New Roman" w:cs="Times New Roman"/>
          <w:b/>
          <w:bCs/>
          <w:kern w:val="36"/>
          <w:sz w:val="24"/>
          <w:szCs w:val="24"/>
        </w:rPr>
        <w:t>Tablo 2: Ana sanayi gruplarına göre sanayi üretim endeksi büyüme ve değişim oranları(2010=100), Şubat 2015</w:t>
      </w:r>
    </w:p>
    <w:p w:rsidR="0096459B" w:rsidRPr="00246CBF" w:rsidRDefault="0096459B" w:rsidP="0096459B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6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0"/>
        <w:gridCol w:w="2060"/>
        <w:gridCol w:w="2060"/>
      </w:tblGrid>
      <w:tr w:rsidR="0096459B" w:rsidRPr="00D95A87" w:rsidTr="008E023E">
        <w:trPr>
          <w:trHeight w:val="25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95A87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95A87">
              <w:rPr>
                <w:rFonts w:ascii="Calibri" w:eastAsia="Times New Roman" w:hAnsi="Calibri" w:cs="Times New Roman"/>
                <w:b/>
                <w:bCs/>
              </w:rPr>
              <w:t>Önceki Aya Göre (%)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95A87">
              <w:rPr>
                <w:rFonts w:ascii="Calibri" w:eastAsia="Times New Roman" w:hAnsi="Calibri" w:cs="Times New Roman"/>
                <w:b/>
                <w:bCs/>
              </w:rPr>
              <w:t>Önceki Yıla Göre (%)</w:t>
            </w:r>
          </w:p>
        </w:tc>
      </w:tr>
      <w:tr w:rsidR="0096459B" w:rsidRPr="00D95A87" w:rsidTr="008E023E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Ara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0.9%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-4.1%</w:t>
            </w:r>
          </w:p>
        </w:tc>
      </w:tr>
      <w:tr w:rsidR="0096459B" w:rsidRPr="00D95A87" w:rsidTr="008E023E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Dayanıklı Tüketim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6.6%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3.6%</w:t>
            </w:r>
          </w:p>
        </w:tc>
      </w:tr>
      <w:tr w:rsidR="0096459B" w:rsidRPr="00D95A87" w:rsidTr="008E023E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Dayanıksız Tüketim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2.3%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2.2%</w:t>
            </w:r>
          </w:p>
        </w:tc>
      </w:tr>
      <w:tr w:rsidR="0096459B" w:rsidRPr="00D95A87" w:rsidTr="008E023E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Enerji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2.2%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2.4%</w:t>
            </w:r>
          </w:p>
        </w:tc>
      </w:tr>
      <w:tr w:rsidR="0096459B" w:rsidRPr="00D95A87" w:rsidTr="008E023E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Sermaye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1.0%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8.3%</w:t>
            </w:r>
          </w:p>
        </w:tc>
      </w:tr>
      <w:tr w:rsidR="0096459B" w:rsidRPr="00D95A87" w:rsidTr="008E023E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95A87">
              <w:rPr>
                <w:rFonts w:ascii="Calibri" w:eastAsia="Times New Roman" w:hAnsi="Calibri" w:cs="Times New Roman"/>
                <w:b/>
                <w:bCs/>
              </w:rPr>
              <w:t>TOPLAM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5A87">
              <w:rPr>
                <w:rFonts w:ascii="Calibri" w:eastAsia="Times New Roman" w:hAnsi="Calibri" w:cs="Times New Roman"/>
              </w:rPr>
              <w:t>1.7%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59B" w:rsidRPr="00D95A87" w:rsidRDefault="0096459B" w:rsidP="008E0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95A87">
              <w:rPr>
                <w:rFonts w:ascii="Calibri" w:eastAsia="Times New Roman" w:hAnsi="Calibri" w:cs="Times New Roman"/>
                <w:b/>
                <w:bCs/>
              </w:rPr>
              <w:t>-1.6%</w:t>
            </w:r>
          </w:p>
        </w:tc>
      </w:tr>
    </w:tbl>
    <w:p w:rsidR="0096459B" w:rsidRPr="00246CBF" w:rsidRDefault="0096459B" w:rsidP="0096459B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246CBF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246CBF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96459B" w:rsidRPr="00246CBF" w:rsidRDefault="0096459B" w:rsidP="0096459B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8E7F7A" w:rsidRPr="00246CBF" w:rsidRDefault="00517288" w:rsidP="00517288">
      <w:pPr>
        <w:jc w:val="both"/>
        <w:rPr>
          <w:color w:val="000000" w:themeColor="text1"/>
        </w:rPr>
      </w:pPr>
      <w:r w:rsidRPr="00246CBF">
        <w:rPr>
          <w:color w:val="000000" w:themeColor="text1"/>
        </w:rPr>
        <w:t xml:space="preserve">İmalat sanayinin alt sektörlerinde geçen aya göre </w:t>
      </w:r>
      <w:r w:rsidR="00923FD3" w:rsidRPr="00246CBF">
        <w:rPr>
          <w:color w:val="000000" w:themeColor="text1"/>
        </w:rPr>
        <w:t xml:space="preserve">en </w:t>
      </w:r>
      <w:r w:rsidR="005D3074" w:rsidRPr="00246CBF">
        <w:rPr>
          <w:color w:val="000000" w:themeColor="text1"/>
        </w:rPr>
        <w:t>diğer ulaşım araçları (%</w:t>
      </w:r>
      <w:r w:rsidR="00720322" w:rsidRPr="00246CBF">
        <w:rPr>
          <w:color w:val="000000" w:themeColor="text1"/>
        </w:rPr>
        <w:t>11,7</w:t>
      </w:r>
      <w:r w:rsidR="005D3074" w:rsidRPr="00246CBF">
        <w:rPr>
          <w:color w:val="000000" w:themeColor="text1"/>
        </w:rPr>
        <w:t>) ile deri ve ilgili ürünleri (%10</w:t>
      </w:r>
      <w:r w:rsidR="00763689" w:rsidRPr="00246CBF">
        <w:rPr>
          <w:color w:val="000000" w:themeColor="text1"/>
        </w:rPr>
        <w:t xml:space="preserve">) imalatında gerçekleşmiştir. Bu sektörleri </w:t>
      </w:r>
      <w:r w:rsidR="005D3074" w:rsidRPr="00246CBF">
        <w:rPr>
          <w:color w:val="000000" w:themeColor="text1"/>
        </w:rPr>
        <w:t>tütün ürünleri (%</w:t>
      </w:r>
      <w:r w:rsidR="00720322" w:rsidRPr="00246CBF">
        <w:rPr>
          <w:color w:val="000000" w:themeColor="text1"/>
        </w:rPr>
        <w:t>4,9</w:t>
      </w:r>
      <w:r w:rsidR="00763689" w:rsidRPr="00246CBF">
        <w:rPr>
          <w:color w:val="000000" w:themeColor="text1"/>
        </w:rPr>
        <w:t xml:space="preserve">) ve </w:t>
      </w:r>
      <w:r w:rsidR="005D3074" w:rsidRPr="00246CBF">
        <w:rPr>
          <w:color w:val="000000" w:themeColor="text1"/>
        </w:rPr>
        <w:t>giyim eşyaları imalatı (%</w:t>
      </w:r>
      <w:r w:rsidR="00720322" w:rsidRPr="00246CBF">
        <w:rPr>
          <w:color w:val="000000" w:themeColor="text1"/>
        </w:rPr>
        <w:t>2,7</w:t>
      </w:r>
      <w:r w:rsidR="00763689" w:rsidRPr="00246CBF">
        <w:rPr>
          <w:color w:val="000000" w:themeColor="text1"/>
        </w:rPr>
        <w:t xml:space="preserve">) takip etmiştir. </w:t>
      </w:r>
      <w:r w:rsidR="00923FD3" w:rsidRPr="00246CBF">
        <w:rPr>
          <w:color w:val="000000" w:themeColor="text1"/>
        </w:rPr>
        <w:t xml:space="preserve">Bu </w:t>
      </w:r>
      <w:r w:rsidR="00763689" w:rsidRPr="00246CBF">
        <w:rPr>
          <w:color w:val="000000" w:themeColor="text1"/>
        </w:rPr>
        <w:t xml:space="preserve">dönemde </w:t>
      </w:r>
      <w:r w:rsidR="00923FD3" w:rsidRPr="00246CBF">
        <w:rPr>
          <w:color w:val="000000" w:themeColor="text1"/>
        </w:rPr>
        <w:t xml:space="preserve">en hızlı </w:t>
      </w:r>
      <w:r w:rsidR="00FE2D1A" w:rsidRPr="00246CBF">
        <w:rPr>
          <w:color w:val="000000" w:themeColor="text1"/>
        </w:rPr>
        <w:t>yükseliş</w:t>
      </w:r>
      <w:r w:rsidR="00923FD3" w:rsidRPr="00246CBF">
        <w:rPr>
          <w:color w:val="000000" w:themeColor="text1"/>
        </w:rPr>
        <w:t xml:space="preserve"> ise </w:t>
      </w:r>
      <w:r w:rsidR="005D3074" w:rsidRPr="00246CBF">
        <w:rPr>
          <w:color w:val="000000" w:themeColor="text1"/>
        </w:rPr>
        <w:t>%10</w:t>
      </w:r>
      <w:r w:rsidR="00FE2D1A" w:rsidRPr="00246CBF">
        <w:rPr>
          <w:color w:val="000000" w:themeColor="text1"/>
        </w:rPr>
        <w:t xml:space="preserve"> ile </w:t>
      </w:r>
      <w:r w:rsidR="005D3074" w:rsidRPr="00246CBF">
        <w:rPr>
          <w:color w:val="000000" w:themeColor="text1"/>
        </w:rPr>
        <w:t>temel eczacılık ürünleri ve %8</w:t>
      </w:r>
      <w:r w:rsidR="008E7F7A" w:rsidRPr="00246CBF">
        <w:rPr>
          <w:color w:val="000000" w:themeColor="text1"/>
        </w:rPr>
        <w:t xml:space="preserve"> ile </w:t>
      </w:r>
      <w:r w:rsidR="005D3074" w:rsidRPr="00246CBF">
        <w:rPr>
          <w:color w:val="000000" w:themeColor="text1"/>
        </w:rPr>
        <w:t>mobilya imalatında gerçekleş</w:t>
      </w:r>
      <w:r w:rsidR="008E7F7A" w:rsidRPr="00246CBF">
        <w:rPr>
          <w:color w:val="000000" w:themeColor="text1"/>
        </w:rPr>
        <w:t xml:space="preserve">miştir. </w:t>
      </w:r>
    </w:p>
    <w:p w:rsidR="008E7F7A" w:rsidRPr="00246CBF" w:rsidRDefault="004D6276" w:rsidP="00517288">
      <w:pPr>
        <w:jc w:val="both"/>
        <w:rPr>
          <w:color w:val="000000" w:themeColor="text1"/>
        </w:rPr>
      </w:pPr>
      <w:r w:rsidRPr="00246CBF">
        <w:rPr>
          <w:color w:val="000000" w:themeColor="text1"/>
        </w:rPr>
        <w:t>Son 6 yılın şubat</w:t>
      </w:r>
      <w:r w:rsidR="008E7F7A" w:rsidRPr="00246CBF">
        <w:rPr>
          <w:color w:val="000000" w:themeColor="text1"/>
        </w:rPr>
        <w:t xml:space="preserve"> ayı sanayi üretim endeksle</w:t>
      </w:r>
      <w:r w:rsidRPr="00246CBF">
        <w:rPr>
          <w:color w:val="000000" w:themeColor="text1"/>
        </w:rPr>
        <w:t>rine bakıldığında ise endeks 2000</w:t>
      </w:r>
      <w:r w:rsidR="008E7F7A" w:rsidRPr="00246CBF">
        <w:rPr>
          <w:color w:val="000000" w:themeColor="text1"/>
        </w:rPr>
        <w:t xml:space="preserve"> yılından bu yana her sene bir öncekinin üzerinde seyrederken</w:t>
      </w:r>
      <w:r w:rsidR="001273B1" w:rsidRPr="00246CBF">
        <w:rPr>
          <w:color w:val="000000" w:themeColor="text1"/>
        </w:rPr>
        <w:t>,</w:t>
      </w:r>
      <w:r w:rsidR="008E7F7A" w:rsidRPr="00246CBF">
        <w:rPr>
          <w:color w:val="000000" w:themeColor="text1"/>
        </w:rPr>
        <w:t xml:space="preserve"> 2015 yılı </w:t>
      </w:r>
      <w:r w:rsidRPr="00246CBF">
        <w:rPr>
          <w:color w:val="000000" w:themeColor="text1"/>
        </w:rPr>
        <w:t>Şubat</w:t>
      </w:r>
      <w:r w:rsidR="008E7F7A" w:rsidRPr="00246CBF">
        <w:rPr>
          <w:color w:val="000000" w:themeColor="text1"/>
        </w:rPr>
        <w:t xml:space="preserve"> ayı</w:t>
      </w:r>
      <w:r w:rsidR="001273B1" w:rsidRPr="00246CBF">
        <w:rPr>
          <w:color w:val="000000" w:themeColor="text1"/>
        </w:rPr>
        <w:t xml:space="preserve"> sanayi</w:t>
      </w:r>
      <w:r w:rsidR="008E7F7A" w:rsidRPr="00246CBF">
        <w:rPr>
          <w:color w:val="000000" w:themeColor="text1"/>
        </w:rPr>
        <w:t xml:space="preserve"> üretim</w:t>
      </w:r>
      <w:r w:rsidR="001273B1" w:rsidRPr="00246CBF">
        <w:rPr>
          <w:color w:val="000000" w:themeColor="text1"/>
        </w:rPr>
        <w:t xml:space="preserve"> endeksi </w:t>
      </w:r>
      <w:r w:rsidRPr="00246CBF">
        <w:rPr>
          <w:color w:val="000000" w:themeColor="text1"/>
        </w:rPr>
        <w:t>de yükselişe devam etmiştir.</w:t>
      </w:r>
      <w:r w:rsidR="008E7F7A" w:rsidRPr="00246CBF">
        <w:rPr>
          <w:color w:val="000000" w:themeColor="text1"/>
        </w:rPr>
        <w:t xml:space="preserve"> </w:t>
      </w:r>
    </w:p>
    <w:p w:rsidR="00FD0F6A" w:rsidRPr="00246CBF" w:rsidRDefault="0043515F" w:rsidP="003144C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246CBF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Şekil 2: </w:t>
      </w:r>
      <w:r w:rsidR="00FD0F6A" w:rsidRPr="00246CBF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Yıllara göre </w:t>
      </w:r>
      <w:r w:rsidR="0046529E" w:rsidRPr="00246CBF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Şubat</w:t>
      </w:r>
      <w:r w:rsidR="00FD0F6A" w:rsidRPr="00246CBF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ayları itibariyle sanayi üretim endeksi</w:t>
      </w:r>
      <w:r w:rsidR="00B21E05" w:rsidRPr="00246CBF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FD0F6A" w:rsidRPr="00246CBF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(</w:t>
      </w:r>
      <w:r w:rsidR="00C5430C" w:rsidRPr="00246CBF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mevsim ve </w:t>
      </w:r>
      <w:r w:rsidR="00FD0F6A" w:rsidRPr="00246CBF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takvim etkisinden arındırılmış, 2010=100)</w:t>
      </w:r>
    </w:p>
    <w:p w:rsidR="00FD0F6A" w:rsidRPr="00246CBF" w:rsidRDefault="0046529E" w:rsidP="0046529E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i/>
          <w:kern w:val="36"/>
          <w:sz w:val="28"/>
          <w:szCs w:val="24"/>
        </w:rPr>
      </w:pPr>
      <w:r w:rsidRPr="00246CBF">
        <w:rPr>
          <w:rFonts w:eastAsia="Times New Roman" w:cs="Times New Roman"/>
          <w:b/>
          <w:bCs/>
          <w:i/>
          <w:kern w:val="36"/>
          <w:sz w:val="28"/>
          <w:szCs w:val="24"/>
        </w:rPr>
        <w:drawing>
          <wp:inline distT="0" distB="0" distL="0" distR="0">
            <wp:extent cx="5057775" cy="2152650"/>
            <wp:effectExtent l="0" t="0" r="0" b="0"/>
            <wp:docPr id="5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54B2" w:rsidRPr="00246CBF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246CBF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246CBF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Pr="00246CBF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A97C87" w:rsidRPr="00246CBF" w:rsidRDefault="00A97C87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D95A87" w:rsidRPr="00246CBF" w:rsidRDefault="00D95A87" w:rsidP="00D95A87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A97C87" w:rsidRPr="00246CBF" w:rsidRDefault="00A97C87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A97C87" w:rsidRPr="00246CBF" w:rsidRDefault="00A97C87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Pr="00246CBF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A97C87" w:rsidRPr="00246CBF" w:rsidRDefault="00DC7CC4" w:rsidP="007554B2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246CBF">
        <w:rPr>
          <w:rFonts w:eastAsia="Times New Roman" w:cs="Times New Roman"/>
          <w:b/>
          <w:bCs/>
          <w:kern w:val="36"/>
          <w:sz w:val="24"/>
          <w:szCs w:val="24"/>
        </w:rPr>
        <w:t xml:space="preserve">Tablo </w:t>
      </w:r>
      <w:r w:rsidR="00785D0D" w:rsidRPr="00246CBF">
        <w:rPr>
          <w:rFonts w:eastAsia="Times New Roman" w:cs="Times New Roman"/>
          <w:b/>
          <w:bCs/>
          <w:kern w:val="36"/>
          <w:sz w:val="24"/>
          <w:szCs w:val="24"/>
        </w:rPr>
        <w:t>3</w:t>
      </w:r>
      <w:r w:rsidR="007402FF" w:rsidRPr="00246CBF">
        <w:rPr>
          <w:rFonts w:eastAsia="Times New Roman" w:cs="Times New Roman"/>
          <w:b/>
          <w:bCs/>
          <w:kern w:val="36"/>
          <w:sz w:val="24"/>
          <w:szCs w:val="24"/>
        </w:rPr>
        <w:t xml:space="preserve">: </w:t>
      </w:r>
      <w:r w:rsidR="00AE1B17" w:rsidRPr="00246CBF">
        <w:rPr>
          <w:rFonts w:eastAsia="Times New Roman" w:cs="Times New Roman"/>
          <w:b/>
          <w:bCs/>
          <w:kern w:val="36"/>
          <w:sz w:val="24"/>
          <w:szCs w:val="24"/>
        </w:rPr>
        <w:t>Sanayi alt sektörlerine</w:t>
      </w:r>
      <w:r w:rsidR="007402FF" w:rsidRPr="00246CBF">
        <w:rPr>
          <w:rFonts w:eastAsia="Times New Roman" w:cs="Times New Roman"/>
          <w:b/>
          <w:bCs/>
          <w:kern w:val="36"/>
          <w:sz w:val="24"/>
          <w:szCs w:val="24"/>
        </w:rPr>
        <w:t xml:space="preserve"> göre sanayi üretim endeksi büyüme ve d</w:t>
      </w:r>
      <w:r w:rsidR="00264515" w:rsidRPr="00246CBF">
        <w:rPr>
          <w:rFonts w:eastAsia="Times New Roman" w:cs="Times New Roman"/>
          <w:b/>
          <w:bCs/>
          <w:kern w:val="36"/>
          <w:sz w:val="24"/>
          <w:szCs w:val="24"/>
        </w:rPr>
        <w:t xml:space="preserve">eğişim oranları(2010=100), </w:t>
      </w:r>
      <w:r w:rsidR="009C6FF3" w:rsidRPr="00246CBF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="00AA3994" w:rsidRPr="00246CBF">
        <w:rPr>
          <w:rFonts w:eastAsia="Times New Roman" w:cs="Times New Roman"/>
          <w:b/>
          <w:bCs/>
          <w:kern w:val="36"/>
          <w:sz w:val="24"/>
          <w:szCs w:val="24"/>
        </w:rPr>
        <w:t xml:space="preserve"> 2015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6"/>
        <w:gridCol w:w="2410"/>
        <w:gridCol w:w="2268"/>
      </w:tblGrid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Önceki Aya Göre (%)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Önceki Yıla Göre (%)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 xml:space="preserve">Temel eczacılık ürünlerinin </w:t>
            </w:r>
            <w:r w:rsidR="00593037" w:rsidRPr="00246CBF">
              <w:rPr>
                <w:rFonts w:ascii="Calibri" w:eastAsia="Times New Roman" w:hAnsi="Calibri" w:cs="Times New Roman"/>
                <w:b/>
                <w:bCs/>
              </w:rPr>
              <w:t>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10.0%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30.7%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Mobilya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8.1%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9.4%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Elektrikli teçhizat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7.2%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-0.6%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 xml:space="preserve">Motorlu kara taşıtı, treyler (römork)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4.5%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23.3%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 xml:space="preserve">Ana metal </w:t>
            </w:r>
            <w:r w:rsidR="00720322" w:rsidRPr="00A97C87">
              <w:rPr>
                <w:rFonts w:ascii="Calibri" w:eastAsia="Times New Roman" w:hAnsi="Calibri" w:cs="Times New Roman"/>
                <w:b/>
                <w:bCs/>
              </w:rPr>
              <w:t>sanayi</w:t>
            </w:r>
            <w:r w:rsidR="00720322">
              <w:rPr>
                <w:rFonts w:ascii="Calibri" w:eastAsia="Times New Roman" w:hAnsi="Calibri" w:cs="Times New Roman"/>
                <w:b/>
                <w:bCs/>
              </w:rPr>
              <w:t xml:space="preserve">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4.3%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-0.4%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 xml:space="preserve">Kok kömürü ve rafine edilmiş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3.7%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11.6%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İçeceklerin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3.6%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8.5%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Gıda ürünleri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2.2%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2.0%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Tekstil ürünleri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2.2%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-8.9%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Kayıtlı medyanın basılması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2.0%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-0.6%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Kauçuk ve plastik ürünlerin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1.2%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0.2%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Diğer metalik olmayan mineral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1.2%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-12.0%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Başka yerde sınıflandırılmamış</w:t>
            </w:r>
            <w:r w:rsidR="00593037" w:rsidRPr="00246CBF">
              <w:rPr>
                <w:rFonts w:ascii="Calibri" w:eastAsia="Times New Roman" w:hAnsi="Calibri" w:cs="Times New Roman"/>
                <w:b/>
                <w:bCs/>
              </w:rPr>
              <w:t xml:space="preserve"> ürün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1.1%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-3.6%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Ağaç, ağaç ve mantar ürünleri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0.2%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-8.2%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 xml:space="preserve">Kimyasalların ve kimyasal </w:t>
            </w:r>
            <w:r w:rsidR="00593037" w:rsidRPr="00246CBF">
              <w:rPr>
                <w:rFonts w:ascii="Calibri" w:eastAsia="Times New Roman" w:hAnsi="Calibri" w:cs="Times New Roman"/>
                <w:b/>
                <w:bCs/>
              </w:rPr>
              <w:t>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-0.3%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-6.5%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Diğer imalatlar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-0.8%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-0.2%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proofErr w:type="gramStart"/>
            <w:r w:rsidRPr="00A97C87">
              <w:rPr>
                <w:rFonts w:ascii="Calibri" w:eastAsia="Times New Roman" w:hAnsi="Calibri" w:cs="Times New Roman"/>
                <w:b/>
                <w:bCs/>
              </w:rPr>
              <w:t>Kağıt</w:t>
            </w:r>
            <w:proofErr w:type="gramEnd"/>
            <w:r w:rsidRPr="00A97C87">
              <w:rPr>
                <w:rFonts w:ascii="Calibri" w:eastAsia="Times New Roman" w:hAnsi="Calibri" w:cs="Times New Roman"/>
                <w:b/>
                <w:bCs/>
              </w:rPr>
              <w:t xml:space="preserve"> ve kağıt ürünleri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-2.0%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-2.6%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Fabrikasyon metal ürünleri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-2.1%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-4.2%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 xml:space="preserve">Bilgisayarların, elektronik ve </w:t>
            </w:r>
            <w:proofErr w:type="gramStart"/>
            <w:r w:rsidRPr="00A97C87">
              <w:rPr>
                <w:rFonts w:ascii="Calibri" w:eastAsia="Times New Roman" w:hAnsi="Calibri" w:cs="Times New Roman"/>
                <w:b/>
                <w:bCs/>
              </w:rPr>
              <w:t xml:space="preserve">optik </w:t>
            </w:r>
            <w:r w:rsidR="00593037" w:rsidRPr="00246CBF">
              <w:rPr>
                <w:rFonts w:ascii="Calibri" w:eastAsia="Times New Roman" w:hAnsi="Calibri" w:cs="Times New Roman"/>
                <w:b/>
                <w:bCs/>
              </w:rPr>
              <w:t xml:space="preserve"> imalatı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-2.4%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-20.4%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 xml:space="preserve">Makine ve </w:t>
            </w:r>
            <w:proofErr w:type="gramStart"/>
            <w:r w:rsidRPr="00A97C87">
              <w:rPr>
                <w:rFonts w:ascii="Calibri" w:eastAsia="Times New Roman" w:hAnsi="Calibri" w:cs="Times New Roman"/>
                <w:b/>
                <w:bCs/>
              </w:rPr>
              <w:t>ekipmanların</w:t>
            </w:r>
            <w:proofErr w:type="gramEnd"/>
            <w:r w:rsidR="00593037" w:rsidRPr="00246CBF">
              <w:rPr>
                <w:rFonts w:ascii="Calibri" w:eastAsia="Times New Roman" w:hAnsi="Calibri" w:cs="Times New Roman"/>
                <w:b/>
                <w:bCs/>
              </w:rPr>
              <w:t xml:space="preserve"> kurulumu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-2.5%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7.1%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Giyim eşyaları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-2.7%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-3.1%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Tütün ürünleri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-4.9%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2.2%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Deri ve ilgili ürünlerin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-10.0%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-22.8%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Diğer ulaşım araçlarının imalatı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-11.7%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40.6%</w:t>
            </w:r>
          </w:p>
        </w:tc>
      </w:tr>
      <w:tr w:rsidR="00A97C87" w:rsidRPr="00A97C87" w:rsidTr="00A97C87">
        <w:trPr>
          <w:trHeight w:val="2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  <w:sz w:val="24"/>
              </w:rPr>
              <w:t>TOPLAM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1.7%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87" w:rsidRPr="00A97C87" w:rsidRDefault="00A97C87" w:rsidP="00A97C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97C87">
              <w:rPr>
                <w:rFonts w:ascii="Calibri" w:eastAsia="Times New Roman" w:hAnsi="Calibri" w:cs="Times New Roman"/>
                <w:b/>
                <w:bCs/>
              </w:rPr>
              <w:t>0.6%</w:t>
            </w:r>
          </w:p>
        </w:tc>
      </w:tr>
    </w:tbl>
    <w:p w:rsidR="007554B2" w:rsidRPr="001273B1" w:rsidRDefault="007554B2" w:rsidP="001273B1">
      <w:pPr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246CBF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246CBF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Default="007554B2" w:rsidP="00FE2D1A">
      <w:pPr>
        <w:jc w:val="both"/>
      </w:pPr>
    </w:p>
    <w:p w:rsidR="00473C27" w:rsidRPr="007554B2" w:rsidRDefault="00473C27" w:rsidP="00473C2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473C27" w:rsidRDefault="00473C27" w:rsidP="00473C27">
      <w:pPr>
        <w:jc w:val="both"/>
      </w:pPr>
    </w:p>
    <w:p w:rsidR="00DC7CC4" w:rsidRDefault="00DC7CC4" w:rsidP="00FE2D1A">
      <w:pPr>
        <w:jc w:val="both"/>
      </w:pPr>
    </w:p>
    <w:sectPr w:rsidR="00DC7CC4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FC" w:rsidRDefault="006F6FFC" w:rsidP="00C04441">
      <w:pPr>
        <w:spacing w:after="0" w:line="240" w:lineRule="auto"/>
      </w:pPr>
      <w:r>
        <w:separator/>
      </w:r>
    </w:p>
  </w:endnote>
  <w:endnote w:type="continuationSeparator" w:id="0">
    <w:p w:rsidR="006F6FFC" w:rsidRDefault="006F6FFC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74264"/>
      <w:docPartObj>
        <w:docPartGallery w:val="Page Numbers (Bottom of Page)"/>
        <w:docPartUnique/>
      </w:docPartObj>
    </w:sdtPr>
    <w:sdtContent>
      <w:p w:rsidR="008E7F7A" w:rsidRDefault="008D780D">
        <w:pPr>
          <w:pStyle w:val="Altbilgi"/>
          <w:jc w:val="right"/>
        </w:pPr>
        <w:fldSimple w:instr=" PAGE   \* MERGEFORMAT ">
          <w:r w:rsidR="00720322">
            <w:rPr>
              <w:noProof/>
            </w:rPr>
            <w:t>1</w:t>
          </w:r>
        </w:fldSimple>
      </w:p>
    </w:sdtContent>
  </w:sdt>
  <w:p w:rsidR="008E7F7A" w:rsidRDefault="008E7F7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FC" w:rsidRDefault="006F6FFC" w:rsidP="00C04441">
      <w:pPr>
        <w:spacing w:after="0" w:line="240" w:lineRule="auto"/>
      </w:pPr>
      <w:r>
        <w:separator/>
      </w:r>
    </w:p>
  </w:footnote>
  <w:footnote w:type="continuationSeparator" w:id="0">
    <w:p w:rsidR="006F6FFC" w:rsidRDefault="006F6FFC" w:rsidP="00C04441">
      <w:pPr>
        <w:spacing w:after="0" w:line="240" w:lineRule="auto"/>
      </w:pPr>
      <w:r>
        <w:continuationSeparator/>
      </w:r>
    </w:p>
  </w:footnote>
  <w:footnote w:id="1">
    <w:p w:rsidR="00D8766B" w:rsidRDefault="00D8766B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</w:t>
      </w:r>
      <w:r w:rsidR="00763689">
        <w:t>ndırılmış veriler kullanılmaktadır.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376B0"/>
    <w:rsid w:val="00050388"/>
    <w:rsid w:val="00054542"/>
    <w:rsid w:val="00054929"/>
    <w:rsid w:val="000701FD"/>
    <w:rsid w:val="000B7EA9"/>
    <w:rsid w:val="000D18BE"/>
    <w:rsid w:val="000D7AFB"/>
    <w:rsid w:val="000F7730"/>
    <w:rsid w:val="00112C0F"/>
    <w:rsid w:val="001243A0"/>
    <w:rsid w:val="001273B1"/>
    <w:rsid w:val="00160C8F"/>
    <w:rsid w:val="001A0C10"/>
    <w:rsid w:val="001E11A2"/>
    <w:rsid w:val="001E5A63"/>
    <w:rsid w:val="001F7633"/>
    <w:rsid w:val="00215555"/>
    <w:rsid w:val="0022515A"/>
    <w:rsid w:val="00227ACB"/>
    <w:rsid w:val="00233BD5"/>
    <w:rsid w:val="00236934"/>
    <w:rsid w:val="00246CBF"/>
    <w:rsid w:val="00253E29"/>
    <w:rsid w:val="00264515"/>
    <w:rsid w:val="002828B1"/>
    <w:rsid w:val="002A38E3"/>
    <w:rsid w:val="002A3E2F"/>
    <w:rsid w:val="002B2CC6"/>
    <w:rsid w:val="002B53E4"/>
    <w:rsid w:val="002D3E19"/>
    <w:rsid w:val="002E2DA0"/>
    <w:rsid w:val="00312018"/>
    <w:rsid w:val="003144CC"/>
    <w:rsid w:val="0034114A"/>
    <w:rsid w:val="00347FB8"/>
    <w:rsid w:val="00351561"/>
    <w:rsid w:val="00353D82"/>
    <w:rsid w:val="00355562"/>
    <w:rsid w:val="00357954"/>
    <w:rsid w:val="003641B3"/>
    <w:rsid w:val="003A57CB"/>
    <w:rsid w:val="003C6277"/>
    <w:rsid w:val="003E6C6C"/>
    <w:rsid w:val="003F2715"/>
    <w:rsid w:val="00424CC0"/>
    <w:rsid w:val="00432DF5"/>
    <w:rsid w:val="0043515F"/>
    <w:rsid w:val="00454BC0"/>
    <w:rsid w:val="004573D3"/>
    <w:rsid w:val="00461267"/>
    <w:rsid w:val="0046529E"/>
    <w:rsid w:val="00473C27"/>
    <w:rsid w:val="004746B3"/>
    <w:rsid w:val="004C773D"/>
    <w:rsid w:val="004D42CE"/>
    <w:rsid w:val="004D49B1"/>
    <w:rsid w:val="004D5C8C"/>
    <w:rsid w:val="004D6276"/>
    <w:rsid w:val="00517288"/>
    <w:rsid w:val="00522A6C"/>
    <w:rsid w:val="005405F5"/>
    <w:rsid w:val="00544D61"/>
    <w:rsid w:val="00561094"/>
    <w:rsid w:val="00574C38"/>
    <w:rsid w:val="00593037"/>
    <w:rsid w:val="005A464C"/>
    <w:rsid w:val="005C53F8"/>
    <w:rsid w:val="005D3074"/>
    <w:rsid w:val="005D6645"/>
    <w:rsid w:val="005F3DE9"/>
    <w:rsid w:val="006020BD"/>
    <w:rsid w:val="00605C81"/>
    <w:rsid w:val="00636195"/>
    <w:rsid w:val="00654C28"/>
    <w:rsid w:val="00677B0D"/>
    <w:rsid w:val="006B0438"/>
    <w:rsid w:val="006D41B5"/>
    <w:rsid w:val="006F6FFC"/>
    <w:rsid w:val="0070186C"/>
    <w:rsid w:val="00720322"/>
    <w:rsid w:val="00731B2B"/>
    <w:rsid w:val="007330A1"/>
    <w:rsid w:val="00735D6D"/>
    <w:rsid w:val="007402FF"/>
    <w:rsid w:val="007441EB"/>
    <w:rsid w:val="007554B2"/>
    <w:rsid w:val="00756492"/>
    <w:rsid w:val="00763689"/>
    <w:rsid w:val="007736BE"/>
    <w:rsid w:val="00785D0D"/>
    <w:rsid w:val="007B58E6"/>
    <w:rsid w:val="008024AC"/>
    <w:rsid w:val="00872283"/>
    <w:rsid w:val="008A575D"/>
    <w:rsid w:val="008C2C15"/>
    <w:rsid w:val="008C7F9E"/>
    <w:rsid w:val="008D1077"/>
    <w:rsid w:val="008D780D"/>
    <w:rsid w:val="008E7F7A"/>
    <w:rsid w:val="00907E0D"/>
    <w:rsid w:val="00923FD3"/>
    <w:rsid w:val="00935B34"/>
    <w:rsid w:val="0096459B"/>
    <w:rsid w:val="0097326C"/>
    <w:rsid w:val="009A6E86"/>
    <w:rsid w:val="009C6FF3"/>
    <w:rsid w:val="009F0A83"/>
    <w:rsid w:val="009F54F1"/>
    <w:rsid w:val="009F57D6"/>
    <w:rsid w:val="00A274C7"/>
    <w:rsid w:val="00A372D5"/>
    <w:rsid w:val="00A43C04"/>
    <w:rsid w:val="00A705F6"/>
    <w:rsid w:val="00A77365"/>
    <w:rsid w:val="00A97C87"/>
    <w:rsid w:val="00AA3994"/>
    <w:rsid w:val="00AA3BF3"/>
    <w:rsid w:val="00AD2065"/>
    <w:rsid w:val="00AE1B17"/>
    <w:rsid w:val="00B21CDE"/>
    <w:rsid w:val="00B21E05"/>
    <w:rsid w:val="00B43784"/>
    <w:rsid w:val="00B8514B"/>
    <w:rsid w:val="00B94EA9"/>
    <w:rsid w:val="00BA2669"/>
    <w:rsid w:val="00BC294E"/>
    <w:rsid w:val="00BC5F10"/>
    <w:rsid w:val="00BE0133"/>
    <w:rsid w:val="00C026C1"/>
    <w:rsid w:val="00C04441"/>
    <w:rsid w:val="00C144CC"/>
    <w:rsid w:val="00C21D8B"/>
    <w:rsid w:val="00C50E17"/>
    <w:rsid w:val="00C5430C"/>
    <w:rsid w:val="00C90F99"/>
    <w:rsid w:val="00C97AFA"/>
    <w:rsid w:val="00CB4E90"/>
    <w:rsid w:val="00CC7D5F"/>
    <w:rsid w:val="00D2299D"/>
    <w:rsid w:val="00D23355"/>
    <w:rsid w:val="00D62B22"/>
    <w:rsid w:val="00D8766B"/>
    <w:rsid w:val="00D95A87"/>
    <w:rsid w:val="00DB1389"/>
    <w:rsid w:val="00DC5FDC"/>
    <w:rsid w:val="00DC7CC4"/>
    <w:rsid w:val="00DE7934"/>
    <w:rsid w:val="00DF0BA4"/>
    <w:rsid w:val="00EC082E"/>
    <w:rsid w:val="00EC4AA2"/>
    <w:rsid w:val="00ED0C91"/>
    <w:rsid w:val="00EE559E"/>
    <w:rsid w:val="00EF4E45"/>
    <w:rsid w:val="00F061D6"/>
    <w:rsid w:val="00F552A9"/>
    <w:rsid w:val="00F677CE"/>
    <w:rsid w:val="00FB59D2"/>
    <w:rsid w:val="00FD0F6A"/>
    <w:rsid w:val="00FD4EA4"/>
    <w:rsid w:val="00FD6CA4"/>
    <w:rsid w:val="00FE2D1A"/>
    <w:rsid w:val="00FF1C3E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8E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7F7A"/>
    <w:rPr>
      <w:rFonts w:eastAsiaTheme="minorEastAsia"/>
      <w:lang w:val="tr-TR" w:eastAsia="tr-TR"/>
    </w:rPr>
  </w:style>
  <w:style w:type="character" w:styleId="Vurgu">
    <w:name w:val="Emphasis"/>
    <w:basedOn w:val="VarsaylanParagrafYazTipi"/>
    <w:uiPriority w:val="20"/>
    <w:qFormat/>
    <w:rsid w:val="001273B1"/>
    <w:rPr>
      <w:i/>
      <w:iCs/>
    </w:rPr>
  </w:style>
  <w:style w:type="character" w:customStyle="1" w:styleId="apple-converted-space">
    <w:name w:val="apple-converted-space"/>
    <w:basedOn w:val="VarsaylanParagrafYazTipi"/>
    <w:rsid w:val="00127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ZEN\Downloads\2479711582313686732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ZEN\Downloads\2479711582313686732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6.8405651421231922E-2"/>
          <c:y val="5.1400554097404488E-2"/>
          <c:w val="0.89921050427207239"/>
          <c:h val="0.71873456128922242"/>
        </c:manualLayout>
      </c:layout>
      <c:barChart>
        <c:barDir val="col"/>
        <c:grouping val="clustered"/>
        <c:ser>
          <c:idx val="0"/>
          <c:order val="0"/>
          <c:tx>
            <c:strRef>
              <c:f>Sayfa1!$D$9</c:f>
              <c:strCache>
                <c:ptCount val="1"/>
                <c:pt idx="0">
                  <c:v>2014</c:v>
                </c:pt>
              </c:strCache>
            </c:strRef>
          </c:tx>
          <c:dLbls>
            <c:showVal val="1"/>
          </c:dLbls>
          <c:cat>
            <c:strRef>
              <c:f>Sayfa1!$E$8:$P$8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Sayfa1!$E$9:$P$9</c:f>
              <c:numCache>
                <c:formatCode>0.0</c:formatCode>
                <c:ptCount val="12"/>
                <c:pt idx="0">
                  <c:v>121.2209399325581</c:v>
                </c:pt>
                <c:pt idx="1">
                  <c:v>120.49200511473008</c:v>
                </c:pt>
                <c:pt idx="2">
                  <c:v>119.66544320287714</c:v>
                </c:pt>
                <c:pt idx="3">
                  <c:v>120.87681817215612</c:v>
                </c:pt>
                <c:pt idx="4">
                  <c:v>118.79640198852552</c:v>
                </c:pt>
                <c:pt idx="5">
                  <c:v>119.38116086787419</c:v>
                </c:pt>
                <c:pt idx="6">
                  <c:v>121.55908203605375</c:v>
                </c:pt>
                <c:pt idx="7">
                  <c:v>119.48507410934566</c:v>
                </c:pt>
                <c:pt idx="8">
                  <c:v>122.81141549983901</c:v>
                </c:pt>
                <c:pt idx="9">
                  <c:v>120.39223821796186</c:v>
                </c:pt>
                <c:pt idx="10">
                  <c:v>120.23555813637708</c:v>
                </c:pt>
                <c:pt idx="11">
                  <c:v>121.08348520337601</c:v>
                </c:pt>
              </c:numCache>
            </c:numRef>
          </c:val>
        </c:ser>
        <c:ser>
          <c:idx val="1"/>
          <c:order val="1"/>
          <c:tx>
            <c:strRef>
              <c:f>Sayfa1!$D$10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Sayfa1!$E$8:$P$8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Sayfa1!$E$10:$P$10</c:f>
              <c:numCache>
                <c:formatCode>0.0</c:formatCode>
                <c:ptCount val="12"/>
                <c:pt idx="0">
                  <c:v>119.57798906760975</c:v>
                </c:pt>
                <c:pt idx="1">
                  <c:v>121.63983424100677</c:v>
                </c:pt>
              </c:numCache>
            </c:numRef>
          </c:val>
        </c:ser>
        <c:axId val="87025152"/>
        <c:axId val="94835072"/>
      </c:barChart>
      <c:catAx>
        <c:axId val="87025152"/>
        <c:scaling>
          <c:orientation val="minMax"/>
        </c:scaling>
        <c:axPos val="b"/>
        <c:tickLblPos val="nextTo"/>
        <c:crossAx val="94835072"/>
        <c:crosses val="autoZero"/>
        <c:auto val="1"/>
        <c:lblAlgn val="ctr"/>
        <c:lblOffset val="100"/>
      </c:catAx>
      <c:valAx>
        <c:axId val="9483507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tickLblPos val="nextTo"/>
        <c:crossAx val="8702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270082256090518"/>
          <c:y val="0.92554224031268717"/>
          <c:w val="0.28592994359747614"/>
          <c:h val="7.0212160979877508E-2"/>
        </c:manualLayout>
      </c:layout>
    </c:legend>
    <c:plotVisOnly val="1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tr-T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style val="4"/>
  <c:chart>
    <c:autoTitleDeleted val="1"/>
    <c:plotArea>
      <c:layout>
        <c:manualLayout>
          <c:layoutTarget val="inner"/>
          <c:xMode val="edge"/>
          <c:yMode val="edge"/>
          <c:x val="9.6057742782152261E-2"/>
          <c:y val="5.1400366989524535E-2"/>
          <c:w val="0.8831496062992128"/>
          <c:h val="0.83022490723142361"/>
        </c:manualLayout>
      </c:layout>
      <c:lineChart>
        <c:grouping val="standard"/>
        <c:ser>
          <c:idx val="0"/>
          <c:order val="0"/>
          <c:tx>
            <c:strRef>
              <c:f>Sayfa1!$V$6</c:f>
              <c:strCache>
                <c:ptCount val="1"/>
                <c:pt idx="0">
                  <c:v>Şubat</c:v>
                </c:pt>
              </c:strCache>
            </c:strRef>
          </c:tx>
          <c:marker>
            <c:symbol val="none"/>
          </c:marker>
          <c:dLbls>
            <c:dLbl>
              <c:idx val="4"/>
              <c:layout>
                <c:manualLayout>
                  <c:x val="2.7777777777777835E-3"/>
                  <c:y val="4.1666666666666664E-2"/>
                </c:manualLayout>
              </c:layout>
              <c:showVal val="1"/>
            </c:dLbl>
            <c:dLbl>
              <c:idx val="5"/>
              <c:spPr/>
              <c:txPr>
                <a:bodyPr/>
                <a:lstStyle/>
                <a:p>
                  <a:pPr>
                    <a:defRPr b="1"/>
                  </a:pPr>
                  <a:endParaRPr lang="tr-TR"/>
                </a:p>
              </c:txPr>
            </c:dLbl>
            <c:showVal val="1"/>
          </c:dLbls>
          <c:cat>
            <c:numRef>
              <c:f>Sayfa1!$U$7:$U$12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Sayfa1!$V$7:$V$12</c:f>
              <c:numCache>
                <c:formatCode>0.0</c:formatCode>
                <c:ptCount val="6"/>
                <c:pt idx="0">
                  <c:v>95.976890033848989</c:v>
                </c:pt>
                <c:pt idx="1">
                  <c:v>108.44891074484693</c:v>
                </c:pt>
                <c:pt idx="2">
                  <c:v>111.2021878808936</c:v>
                </c:pt>
                <c:pt idx="3">
                  <c:v>115.07682637029959</c:v>
                </c:pt>
                <c:pt idx="4">
                  <c:v>120.49200511473008</c:v>
                </c:pt>
                <c:pt idx="5">
                  <c:v>121.63983424100677</c:v>
                </c:pt>
              </c:numCache>
            </c:numRef>
          </c:val>
        </c:ser>
        <c:marker val="1"/>
        <c:axId val="94909568"/>
        <c:axId val="95331072"/>
      </c:lineChart>
      <c:catAx>
        <c:axId val="949095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tr-TR"/>
          </a:p>
        </c:txPr>
        <c:crossAx val="95331072"/>
        <c:crosses val="autoZero"/>
        <c:auto val="1"/>
        <c:lblAlgn val="ctr"/>
        <c:lblOffset val="100"/>
      </c:catAx>
      <c:valAx>
        <c:axId val="95331072"/>
        <c:scaling>
          <c:orientation val="minMax"/>
          <c:min val="9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txPr>
          <a:bodyPr/>
          <a:lstStyle/>
          <a:p>
            <a:pPr>
              <a:defRPr sz="1000"/>
            </a:pPr>
            <a:endParaRPr lang="tr-TR"/>
          </a:p>
        </c:txPr>
        <c:crossAx val="94909568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050"/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B28CA-B531-4F7F-84E4-410ADED1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</cp:lastModifiedBy>
  <cp:revision>34</cp:revision>
  <dcterms:created xsi:type="dcterms:W3CDTF">2015-04-09T07:51:00Z</dcterms:created>
  <dcterms:modified xsi:type="dcterms:W3CDTF">2015-04-09T13:22:00Z</dcterms:modified>
</cp:coreProperties>
</file>