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E84" w:rsidRDefault="00521A2B">
      <w:pPr>
        <w:pStyle w:val="Balk1"/>
      </w:pPr>
      <w:bookmarkStart w:id="0" w:name="_GoBack"/>
      <w:bookmarkEnd w:id="0"/>
      <w:r>
        <w:t>2019 Üçüncü çeyreği (temmuz-eylül) TÜİK Verileri</w:t>
      </w:r>
    </w:p>
    <w:p w:rsidR="00E21E84" w:rsidRDefault="00521A2B">
      <w:pPr>
        <w:pStyle w:val="Textbody"/>
        <w:rPr>
          <w:sz w:val="22"/>
          <w:szCs w:val="22"/>
        </w:rPr>
      </w:pPr>
      <w:r>
        <w:rPr>
          <w:b/>
          <w:bCs/>
          <w:color w:val="333333"/>
          <w:sz w:val="22"/>
          <w:szCs w:val="22"/>
        </w:rPr>
        <w:t>Türkiye ekonomisi üçüncü çeyrekte yüzde 0.9 büyüdü. Beklenti yüzde 1 büyümeydi. Türk ekonomisi 2019'un ilk çeyreğinde yıllık yüzde 2.4,</w:t>
      </w:r>
      <w:r>
        <w:rPr>
          <w:b/>
          <w:bCs/>
          <w:color w:val="333333"/>
          <w:sz w:val="22"/>
          <w:szCs w:val="22"/>
        </w:rPr>
        <w:t xml:space="preserve"> ikinci çeyreğinde ise yüzde 1.5 daralmıştı.</w:t>
      </w:r>
      <w:r>
        <w:rPr>
          <w:b/>
          <w:bCs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TÜİK verilerine göre GSYH 3. çeyrekte, çeyreklik bazda yüzde 0.4 arttı. Devletin harcamaları yıllık yüzde 7, hanehalkı harcamaları yüzde 1.5 yükseldi. Yatırımlar yıllık yüzde 12.6 azaldı. Sanayi sektörü yüzde 1.</w:t>
      </w:r>
      <w:r>
        <w:rPr>
          <w:color w:val="333333"/>
          <w:sz w:val="22"/>
          <w:szCs w:val="22"/>
        </w:rPr>
        <w:t>6, tarım sektörü yüzde 3.8 büyüdü. İmalat sanayi sektörü yıllık yüzde 1.4 büyüdü. İnşaat sektörü yüzde 7.8 daraldı. Hizmetler sektörü yüzde 0.6 büyüdü. İthalat yüzde 7.6, ihracat yüzde 5.1 arttı.</w:t>
      </w:r>
    </w:p>
    <w:p w:rsidR="00E21E84" w:rsidRDefault="00521A2B">
      <w:pPr>
        <w:pStyle w:val="Textbody"/>
      </w:pPr>
      <w:r>
        <w:rPr>
          <w:rStyle w:val="StrongEmphasis"/>
          <w:color w:val="333333"/>
          <w:sz w:val="22"/>
          <w:szCs w:val="22"/>
        </w:rPr>
        <w:t>İlk İki Çeyreğe Revizyon</w:t>
      </w:r>
    </w:p>
    <w:p w:rsidR="00E21E84" w:rsidRDefault="00521A2B">
      <w:pPr>
        <w:pStyle w:val="Textbody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TÜİK ikinci çeyrek için daha önce </w:t>
      </w:r>
      <w:r>
        <w:rPr>
          <w:color w:val="333333"/>
          <w:sz w:val="22"/>
          <w:szCs w:val="22"/>
        </w:rPr>
        <w:t>yüzde 1.5 olarak açıkladığı daralmayı yüzde 1.6 daralmaya, ilk çeyrek için yüzde 2.4 olarak açıkladığı daralmayı ise yüzde 2.3 daralma olarak revize etti.</w:t>
      </w:r>
    </w:p>
    <w:p w:rsidR="00E21E84" w:rsidRDefault="00521A2B">
      <w:pPr>
        <w:pStyle w:val="Textbody"/>
      </w:pPr>
      <w:r>
        <w:rPr>
          <w:rStyle w:val="StrongEmphasis"/>
          <w:color w:val="333333"/>
          <w:sz w:val="22"/>
          <w:szCs w:val="22"/>
        </w:rPr>
        <w:t>GSYH 3. Çeyrekte Yıllık Yüzde 0.9 Arttı</w:t>
      </w:r>
    </w:p>
    <w:p w:rsidR="00E21E84" w:rsidRDefault="00521A2B">
      <w:pPr>
        <w:pStyle w:val="Textbody"/>
      </w:pPr>
      <w:r>
        <w:rPr>
          <w:rStyle w:val="StrongEmphasis"/>
          <w:b w:val="0"/>
          <w:color w:val="333333"/>
          <w:sz w:val="22"/>
          <w:szCs w:val="22"/>
        </w:rPr>
        <w:t>Gayrisafi Yurt İçi Hasıla üçüncü çeyrek ilk tahmini; zincirl</w:t>
      </w:r>
      <w:r>
        <w:rPr>
          <w:rStyle w:val="StrongEmphasis"/>
          <w:b w:val="0"/>
          <w:color w:val="333333"/>
          <w:sz w:val="22"/>
          <w:szCs w:val="22"/>
        </w:rPr>
        <w:t xml:space="preserve">enmiş hacim endeksi olarak (2009=100),2019 yılının üçüncü çeyreğinde bir önceki yılın aynı çeyreğine göre %0,9 arttı. </w:t>
      </w:r>
      <w:r>
        <w:rPr>
          <w:color w:val="333333"/>
          <w:sz w:val="22"/>
          <w:szCs w:val="22"/>
        </w:rPr>
        <w:t xml:space="preserve">Üretim yöntemiyle Gayrisafi Yurt İçi Hasıla tahmini, 2019 yılının üçüncü çeyreğinde cari fiyatlarla %11,5 artarak 1 trilyon 145 milyar 99 </w:t>
      </w:r>
      <w:r>
        <w:rPr>
          <w:color w:val="333333"/>
          <w:sz w:val="22"/>
          <w:szCs w:val="22"/>
        </w:rPr>
        <w:t>milyon TL oldu.</w:t>
      </w:r>
    </w:p>
    <w:p w:rsidR="00E21E84" w:rsidRDefault="00521A2B">
      <w:pPr>
        <w:pStyle w:val="Textbody"/>
      </w:pPr>
      <w:r>
        <w:rPr>
          <w:rStyle w:val="StrongEmphasis"/>
          <w:color w:val="333333"/>
          <w:sz w:val="22"/>
          <w:szCs w:val="22"/>
        </w:rPr>
        <w:t>İnşaat Sektörü</w:t>
      </w:r>
    </w:p>
    <w:p w:rsidR="00E21E84" w:rsidRDefault="00521A2B">
      <w:pPr>
        <w:pStyle w:val="Textbody"/>
      </w:pPr>
      <w:r>
        <w:rPr>
          <w:rStyle w:val="StrongEmphasis"/>
          <w:b w:val="0"/>
          <w:color w:val="333333"/>
          <w:sz w:val="22"/>
          <w:szCs w:val="22"/>
        </w:rPr>
        <w:t xml:space="preserve">Gayrisafi Yurt İçi Hasıla'yı oluşturan faaliyetler incelendiğinde; 2019 yılının üçüncü çeyreğinde bir önceki yılın aynı çeyreğine göre zincirlenmiş hacim endeksi olarak; tarım sektörü toplam katma değeri %3,8, sanayi sektörü </w:t>
      </w:r>
      <w:r>
        <w:rPr>
          <w:rStyle w:val="StrongEmphasis"/>
          <w:b w:val="0"/>
          <w:color w:val="333333"/>
          <w:sz w:val="22"/>
          <w:szCs w:val="22"/>
        </w:rPr>
        <w:t>%1,6 arttı ve inşaat sektörü %7,8 azaldı. Ticaret, ulaştırma, konaklama ve yiyecek hizmeti faaliyetlerinin toplamından oluşan hizmetler sektörünün katma değeri ise %0,6 arttı.</w:t>
      </w:r>
      <w:r>
        <w:rPr>
          <w:rStyle w:val="StrongEmphasis"/>
          <w:color w:val="333333"/>
          <w:sz w:val="22"/>
          <w:szCs w:val="22"/>
        </w:rPr>
        <w:t xml:space="preserve"> </w:t>
      </w:r>
      <w:r>
        <w:rPr>
          <w:rStyle w:val="StrongEmphasis"/>
          <w:b w:val="0"/>
          <w:color w:val="333333"/>
          <w:sz w:val="22"/>
          <w:szCs w:val="22"/>
        </w:rPr>
        <w:t>Takvim etkisinden arındırılmış GSYH zincirlenmiş hacim endeksi, 2019 yılı üçüncü</w:t>
      </w:r>
      <w:r>
        <w:rPr>
          <w:rStyle w:val="StrongEmphasis"/>
          <w:b w:val="0"/>
          <w:color w:val="333333"/>
          <w:sz w:val="22"/>
          <w:szCs w:val="22"/>
        </w:rPr>
        <w:t xml:space="preserve"> çeyreğinde bir önceki yılın aynı çeyreğine göre %0,6 arttı. Mevsim ve takvim etkilerinden arındırılmış GSYH zincirlenmiş hacim endeksi, bir önceki çeyreğe göre %0,4 arttı.</w:t>
      </w:r>
    </w:p>
    <w:p w:rsidR="00E21E84" w:rsidRDefault="00E21E84">
      <w:pPr>
        <w:pStyle w:val="Textbody"/>
      </w:pPr>
    </w:p>
    <w:p w:rsidR="00E21E84" w:rsidRDefault="00521A2B">
      <w:pPr>
        <w:pStyle w:val="Textbody"/>
      </w:pPr>
      <w:r>
        <w:rPr>
          <w:noProof/>
          <w:lang w:val="tr-TR" w:eastAsia="tr-T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743440" cy="2552760"/>
            <wp:effectExtent l="0" t="0" r="0" b="0"/>
            <wp:wrapTopAndBottom/>
            <wp:docPr id="1" name="grafikler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3440" cy="2552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1E84" w:rsidRDefault="00521A2B">
      <w:pPr>
        <w:pStyle w:val="Textbody"/>
      </w:pPr>
      <w:r>
        <w:rPr>
          <w:rStyle w:val="StrongEmphasis"/>
          <w:color w:val="333333"/>
          <w:sz w:val="22"/>
          <w:szCs w:val="22"/>
        </w:rPr>
        <w:t>Hanehalkı Harcamaları Yüzde 1.5 Arttı</w:t>
      </w:r>
    </w:p>
    <w:p w:rsidR="00E21E84" w:rsidRDefault="00521A2B">
      <w:pPr>
        <w:pStyle w:val="Textbody"/>
      </w:pPr>
      <w:r>
        <w:rPr>
          <w:rStyle w:val="StrongEmphasis"/>
          <w:color w:val="333333"/>
          <w:sz w:val="22"/>
          <w:szCs w:val="22"/>
        </w:rPr>
        <w:t>Yerleşik hanehalklarının ve hanehalkına hi</w:t>
      </w:r>
      <w:r>
        <w:rPr>
          <w:rStyle w:val="StrongEmphasis"/>
          <w:color w:val="333333"/>
          <w:sz w:val="22"/>
          <w:szCs w:val="22"/>
        </w:rPr>
        <w:t>zmet eden kar amacı olmayan kuruluşların (HHKOK) toplam nihai tüketim harcamaları, 2019 yılının üçüncü çeyreğinde bir önceki yılın aynı çeyreğine göre zincirlenmiş hacim endeksi olarak %1,5 arttı.</w:t>
      </w:r>
    </w:p>
    <w:p w:rsidR="00E21E84" w:rsidRDefault="00521A2B">
      <w:pPr>
        <w:pStyle w:val="Textbody"/>
      </w:pPr>
      <w:r>
        <w:rPr>
          <w:rStyle w:val="StrongEmphasis"/>
          <w:color w:val="333333"/>
          <w:sz w:val="22"/>
          <w:szCs w:val="22"/>
        </w:rPr>
        <w:t>Devlet Harcamaları</w:t>
      </w:r>
    </w:p>
    <w:p w:rsidR="00E21E84" w:rsidRDefault="00521A2B">
      <w:pPr>
        <w:pStyle w:val="Textbody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Devletin nihai tüketim harcamaları %7 </w:t>
      </w:r>
      <w:r>
        <w:rPr>
          <w:color w:val="333333"/>
          <w:sz w:val="22"/>
          <w:szCs w:val="22"/>
        </w:rPr>
        <w:t>artarken gayrisafi sabit sermaye oluşumu %12,6 azaldı.</w:t>
      </w:r>
    </w:p>
    <w:p w:rsidR="00E21E84" w:rsidRDefault="00E21E84">
      <w:pPr>
        <w:pStyle w:val="Textbody"/>
        <w:widowControl/>
        <w:spacing w:after="225" w:line="420" w:lineRule="atLeast"/>
      </w:pPr>
    </w:p>
    <w:p w:rsidR="00E21E84" w:rsidRDefault="00521A2B">
      <w:pPr>
        <w:pStyle w:val="Textbody"/>
        <w:widowControl/>
        <w:spacing w:after="225" w:line="420" w:lineRule="atLeast"/>
      </w:pPr>
      <w:r>
        <w:rPr>
          <w:rStyle w:val="StrongEmphasis"/>
          <w:color w:val="333333"/>
          <w:sz w:val="22"/>
          <w:szCs w:val="22"/>
        </w:rPr>
        <w:t>İhracat</w:t>
      </w:r>
    </w:p>
    <w:p w:rsidR="00E21E84" w:rsidRDefault="00521A2B">
      <w:pPr>
        <w:pStyle w:val="Textbody"/>
        <w:widowControl/>
        <w:spacing w:after="225" w:line="420" w:lineRule="atLeast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Mal ve hizmet ihracatı, 2019 yılının üçüncü çeyreğinde bir önceki yılın aynı çeyreğine göre zincirleme hacim endeksi olarak %5,1 ithalatı ise %7,6 arttı.</w:t>
      </w:r>
    </w:p>
    <w:p w:rsidR="00E21E84" w:rsidRDefault="00521A2B">
      <w:pPr>
        <w:pStyle w:val="Textbody"/>
      </w:pPr>
      <w:r>
        <w:rPr>
          <w:noProof/>
          <w:lang w:val="tr-TR" w:eastAsia="tr-T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743440" cy="2743199"/>
            <wp:effectExtent l="0" t="0" r="0" b="1"/>
            <wp:wrapTopAndBottom/>
            <wp:docPr id="2" name="grafikler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3440" cy="2743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1E84" w:rsidRDefault="00521A2B">
      <w:pPr>
        <w:pStyle w:val="Textbody"/>
        <w:widowControl/>
      </w:pPr>
      <w:r>
        <w:rPr>
          <w:rStyle w:val="StrongEmphasis"/>
          <w:color w:val="333333"/>
          <w:sz w:val="22"/>
          <w:szCs w:val="22"/>
        </w:rPr>
        <w:t>İşgücü ödemeleri, 2019 yılının üçünc</w:t>
      </w:r>
      <w:r>
        <w:rPr>
          <w:rStyle w:val="StrongEmphasis"/>
          <w:color w:val="333333"/>
          <w:sz w:val="22"/>
          <w:szCs w:val="22"/>
        </w:rPr>
        <w:t>ü çeyreğinde bir önceki yılın aynı çeyreğine göre %19,8, net işletme artığı/karma gelir %6,2 arttı. İşgücü ödemelerinin cari fiyatlarla Gayrisafi Katma Değer içerisindeki payı geçen yılın aynı çeyreğinde %31,3 iken bu oran 2019 yılının üçüncü çeyreğinde %3</w:t>
      </w:r>
      <w:r>
        <w:rPr>
          <w:rStyle w:val="StrongEmphasis"/>
          <w:color w:val="333333"/>
          <w:sz w:val="22"/>
          <w:szCs w:val="22"/>
        </w:rPr>
        <w:t>3,4 oldu. Net işletme artığı/karma gelirin payı ise %52'den %49,3'e düştü.</w:t>
      </w:r>
    </w:p>
    <w:p w:rsidR="00E21E84" w:rsidRDefault="00521A2B">
      <w:pPr>
        <w:pStyle w:val="Textbody"/>
        <w:widowControl/>
      </w:pPr>
      <w:r>
        <w:rPr>
          <w:noProof/>
          <w:lang w:val="tr-TR" w:eastAsia="tr-TR" w:bidi="ar-SA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334120" cy="2581199"/>
            <wp:effectExtent l="0" t="0" r="0" b="0"/>
            <wp:wrapTopAndBottom/>
            <wp:docPr id="3" name="grafikler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4120" cy="2581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1E84" w:rsidRDefault="00E21E84">
      <w:pPr>
        <w:pStyle w:val="Textbody"/>
        <w:widowControl/>
      </w:pPr>
    </w:p>
    <w:p w:rsidR="00E21E84" w:rsidRDefault="00521A2B">
      <w:pPr>
        <w:pStyle w:val="Textbody"/>
        <w:widowControl/>
      </w:pPr>
      <w:r>
        <w:rPr>
          <w:noProof/>
          <w:lang w:val="tr-TR" w:eastAsia="tr-TR" w:bidi="ar-SA"/>
        </w:rPr>
        <w:lastRenderedPageBreak/>
        <w:drawing>
          <wp:anchor distT="0" distB="0" distL="114300" distR="114300" simplePos="0" relativeHeight="3" behindDoc="0" locked="0" layoutInCell="1" allowOverlap="1">
            <wp:simplePos x="0" y="0"/>
            <wp:positionH relativeFrom="column">
              <wp:posOffset>92160</wp:posOffset>
            </wp:positionH>
            <wp:positionV relativeFrom="paragraph">
              <wp:posOffset>60840</wp:posOffset>
            </wp:positionV>
            <wp:extent cx="5928479" cy="2833200"/>
            <wp:effectExtent l="0" t="0" r="0" b="5250"/>
            <wp:wrapTopAndBottom/>
            <wp:docPr id="4" name="grafikler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8479" cy="283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StrongEmphasis"/>
          <w:b w:val="0"/>
          <w:bCs w:val="0"/>
          <w:i/>
          <w:iCs/>
          <w:color w:val="333333"/>
          <w:sz w:val="14"/>
          <w:szCs w:val="14"/>
        </w:rPr>
        <w:t xml:space="preserve">Kaynak: </w:t>
      </w:r>
      <w:hyperlink r:id="rId11" w:history="1">
        <w:r>
          <w:rPr>
            <w:rStyle w:val="StrongEmphasis"/>
            <w:sz w:val="16"/>
            <w:szCs w:val="16"/>
          </w:rPr>
          <w:t>http://www.sbb.gov.tr/2019-buyume-ucuncu-ceyrek/</w:t>
        </w:r>
      </w:hyperlink>
    </w:p>
    <w:p w:rsidR="00E21E84" w:rsidRDefault="00E21E84">
      <w:pPr>
        <w:pStyle w:val="Textbody"/>
        <w:widowControl/>
      </w:pPr>
    </w:p>
    <w:p w:rsidR="00E21E84" w:rsidRDefault="00E21E84">
      <w:pPr>
        <w:pStyle w:val="Textbody"/>
        <w:widowControl/>
      </w:pPr>
    </w:p>
    <w:p w:rsidR="00E21E84" w:rsidRDefault="00521A2B">
      <w:pPr>
        <w:pStyle w:val="Textbody"/>
        <w:widowControl/>
      </w:pPr>
      <w:r>
        <w:rPr>
          <w:noProof/>
          <w:lang w:val="tr-TR" w:eastAsia="tr-TR" w:bidi="ar-SA"/>
        </w:rPr>
        <w:drawing>
          <wp:anchor distT="0" distB="0" distL="114300" distR="114300" simplePos="0" relativeHeight="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834520" cy="3441600"/>
            <wp:effectExtent l="0" t="0" r="0" b="6450"/>
            <wp:wrapTopAndBottom/>
            <wp:docPr id="5" name="grafikler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34520" cy="344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StrongEmphasis"/>
          <w:b w:val="0"/>
          <w:bCs w:val="0"/>
          <w:i/>
          <w:iCs/>
          <w:color w:val="333333"/>
          <w:sz w:val="14"/>
          <w:szCs w:val="14"/>
        </w:rPr>
        <w:t>Kaynak:</w:t>
      </w:r>
      <w:hyperlink r:id="rId13" w:history="1">
        <w:r>
          <w:rPr>
            <w:rStyle w:val="StrongEmphasis"/>
            <w:sz w:val="16"/>
            <w:szCs w:val="16"/>
          </w:rPr>
          <w:t>http://www.sbb.gov.tr/2019-buyume-ucuncu-ceyrek/</w:t>
        </w:r>
      </w:hyperlink>
    </w:p>
    <w:p w:rsidR="00E21E84" w:rsidRDefault="00E21E84">
      <w:pPr>
        <w:pStyle w:val="Textbody"/>
        <w:widowControl/>
      </w:pPr>
    </w:p>
    <w:p w:rsidR="00E21E84" w:rsidRDefault="00E21E84">
      <w:pPr>
        <w:pStyle w:val="Textbody"/>
        <w:widowControl/>
      </w:pPr>
    </w:p>
    <w:p w:rsidR="00E21E84" w:rsidRDefault="00521A2B">
      <w:pPr>
        <w:pStyle w:val="Textbody"/>
        <w:widowControl/>
      </w:pPr>
      <w:r>
        <w:rPr>
          <w:noProof/>
          <w:lang w:val="tr-TR" w:eastAsia="tr-TR" w:bidi="ar-SA"/>
        </w:rPr>
        <w:lastRenderedPageBreak/>
        <w:drawing>
          <wp:anchor distT="0" distB="0" distL="114300" distR="114300" simplePos="0" relativeHeight="5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772960" cy="3441600"/>
            <wp:effectExtent l="0" t="0" r="0" b="6450"/>
            <wp:wrapTopAndBottom/>
            <wp:docPr id="6" name="grafikler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2960" cy="344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StrongEmphasis"/>
          <w:b w:val="0"/>
          <w:bCs w:val="0"/>
          <w:i/>
          <w:iCs/>
          <w:color w:val="333333"/>
          <w:sz w:val="14"/>
          <w:szCs w:val="14"/>
        </w:rPr>
        <w:t xml:space="preserve">Kaynak: </w:t>
      </w:r>
      <w:r>
        <w:rPr>
          <w:rStyle w:val="StrongEmphasis"/>
          <w:b w:val="0"/>
          <w:bCs w:val="0"/>
          <w:i/>
          <w:iCs/>
          <w:color w:val="333333"/>
          <w:sz w:val="16"/>
          <w:szCs w:val="16"/>
        </w:rPr>
        <w:t>http://www.sbb.gov.tr/2019-buyume-ucuncu-ceyrek/</w:t>
      </w:r>
    </w:p>
    <w:sectPr w:rsidR="00E21E84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A2B" w:rsidRDefault="00521A2B">
      <w:r>
        <w:separator/>
      </w:r>
    </w:p>
  </w:endnote>
  <w:endnote w:type="continuationSeparator" w:id="0">
    <w:p w:rsidR="00521A2B" w:rsidRDefault="00521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A2B" w:rsidRDefault="00521A2B">
      <w:r>
        <w:rPr>
          <w:color w:val="000000"/>
        </w:rPr>
        <w:separator/>
      </w:r>
    </w:p>
  </w:footnote>
  <w:footnote w:type="continuationSeparator" w:id="0">
    <w:p w:rsidR="00521A2B" w:rsidRDefault="00521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21E84"/>
    <w:rsid w:val="00521A2B"/>
    <w:rsid w:val="00633789"/>
    <w:rsid w:val="00E2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Heading"/>
    <w:next w:val="Textbody"/>
    <w:pPr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KonuBal">
    <w:name w:val="Title"/>
    <w:basedOn w:val="Standard"/>
    <w:pPr>
      <w:suppressLineNumbers/>
      <w:spacing w:before="120" w:after="120"/>
    </w:pPr>
    <w:rPr>
      <w:i/>
      <w:iCs/>
    </w:rPr>
  </w:style>
  <w:style w:type="paragraph" w:styleId="AltKonuBal">
    <w:name w:val="Subtitle"/>
    <w:basedOn w:val="Heading"/>
    <w:next w:val="Textbody"/>
    <w:pPr>
      <w:jc w:val="center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Heading"/>
    <w:next w:val="Textbody"/>
    <w:pPr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KonuBal">
    <w:name w:val="Title"/>
    <w:basedOn w:val="Standard"/>
    <w:pPr>
      <w:suppressLineNumbers/>
      <w:spacing w:before="120" w:after="120"/>
    </w:pPr>
    <w:rPr>
      <w:i/>
      <w:iCs/>
    </w:rPr>
  </w:style>
  <w:style w:type="paragraph" w:styleId="AltKonuBal">
    <w:name w:val="Subtitle"/>
    <w:basedOn w:val="Heading"/>
    <w:next w:val="Textbody"/>
    <w:pPr>
      <w:jc w:val="center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://www.sbb.gov.tr/2019-buyume-ucuncu-ceyre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5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sbb.gov.tr/2019-buyume-ucuncu-ceyrek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ORHANG</dc:creator>
  <cp:lastModifiedBy>Ahmet Orhan Güngör</cp:lastModifiedBy>
  <cp:revision>1</cp:revision>
  <dcterms:created xsi:type="dcterms:W3CDTF">2009-04-16T11:32:00Z</dcterms:created>
  <dcterms:modified xsi:type="dcterms:W3CDTF">2020-09-22T12:49:00Z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