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C1" w:rsidRDefault="009F2749">
      <w:pPr>
        <w:rPr>
          <w:b/>
          <w:sz w:val="32"/>
          <w:szCs w:val="32"/>
        </w:rPr>
      </w:pPr>
      <w:r>
        <w:rPr>
          <w:b/>
          <w:sz w:val="32"/>
          <w:szCs w:val="32"/>
        </w:rPr>
        <w:t>2020 Yılı Birinci Ç</w:t>
      </w:r>
      <w:r w:rsidRPr="009F2749">
        <w:rPr>
          <w:b/>
          <w:sz w:val="32"/>
          <w:szCs w:val="32"/>
        </w:rPr>
        <w:t>eyrek</w:t>
      </w:r>
      <w:r w:rsidR="00EC4500">
        <w:rPr>
          <w:b/>
          <w:sz w:val="32"/>
          <w:szCs w:val="32"/>
        </w:rPr>
        <w:t xml:space="preserve"> (ocak-mart) TÜİK</w:t>
      </w:r>
      <w:r>
        <w:rPr>
          <w:b/>
          <w:sz w:val="32"/>
          <w:szCs w:val="32"/>
        </w:rPr>
        <w:t xml:space="preserve"> V</w:t>
      </w:r>
      <w:r w:rsidRPr="009F2749">
        <w:rPr>
          <w:b/>
          <w:sz w:val="32"/>
          <w:szCs w:val="32"/>
        </w:rPr>
        <w:t>erileri</w:t>
      </w:r>
    </w:p>
    <w:p w:rsidR="009F2749" w:rsidRDefault="0053601B">
      <w:pPr>
        <w:rPr>
          <w:bCs/>
        </w:rPr>
      </w:pPr>
      <w:r w:rsidRPr="0053601B">
        <w:rPr>
          <w:bCs/>
        </w:rPr>
        <w:t>GSYH 2020 yılı birinci çeyrek ilk tahmini; zincirlenmiş hacim en</w:t>
      </w:r>
      <w:bookmarkStart w:id="0" w:name="_GoBack"/>
      <w:bookmarkEnd w:id="0"/>
      <w:r w:rsidRPr="0053601B">
        <w:rPr>
          <w:bCs/>
        </w:rPr>
        <w:t>deksi olarak, bir önceki yılın aynı çeyreğine göre %4,5 arttı.</w:t>
      </w:r>
    </w:p>
    <w:p w:rsidR="0053601B" w:rsidRDefault="0053601B">
      <w:pPr>
        <w:rPr>
          <w:bCs/>
        </w:rPr>
      </w:pPr>
    </w:p>
    <w:p w:rsidR="0053601B" w:rsidRDefault="00EC4500">
      <w:pPr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5.8pt">
            <v:imagedata r:id="rId5" o:title="Tablo_Buyume-26052020"/>
          </v:shape>
        </w:pict>
      </w:r>
    </w:p>
    <w:p w:rsidR="0053601B" w:rsidRDefault="0053601B">
      <w:pPr>
        <w:rPr>
          <w:bCs/>
        </w:rPr>
      </w:pPr>
    </w:p>
    <w:p w:rsidR="0053601B" w:rsidRDefault="0053601B">
      <w:pPr>
        <w:rPr>
          <w:b/>
          <w:bCs/>
        </w:rPr>
      </w:pPr>
      <w:r w:rsidRPr="0053601B">
        <w:rPr>
          <w:b/>
          <w:bCs/>
        </w:rPr>
        <w:t>Sanayi sektörü</w:t>
      </w:r>
    </w:p>
    <w:p w:rsidR="0053601B" w:rsidRDefault="0053601B">
      <w:pPr>
        <w:rPr>
          <w:bCs/>
        </w:rPr>
      </w:pPr>
      <w:r w:rsidRPr="0053601B">
        <w:rPr>
          <w:bCs/>
        </w:rPr>
        <w:t>GSYH'yi oluşturan faaliyetler incelendiğinde; 2020 yılı birinci çeyreğinde bir önceki yıla göre zincirlenmiş hacim endeksi olarak; diğer hizmet faaliyetleri %12,1, bilgi ve iletişim faaliyetleri %10,7, sanayi %6,2, kamu yönetimi, eğitim, insan sağlığı ve sosyal hizmet faaliyetleri %4,6, hizmetler %3,4, tarım %3,0, gayrimenkul faali</w:t>
      </w:r>
      <w:r>
        <w:rPr>
          <w:bCs/>
        </w:rPr>
        <w:t xml:space="preserve">yetleri %2,4, mesleki, idari ve </w:t>
      </w:r>
      <w:r w:rsidRPr="0053601B">
        <w:rPr>
          <w:bCs/>
        </w:rPr>
        <w:t>destek hizmet faaliyetleri %1,9 ve finans ve sigorta faaliyetleri %1,6 arttı. İnşaat sektörü ise %1,5 azaldı.</w:t>
      </w:r>
      <w:r>
        <w:rPr>
          <w:bCs/>
        </w:rPr>
        <w:t xml:space="preserve"> </w:t>
      </w:r>
    </w:p>
    <w:p w:rsidR="0053601B" w:rsidRDefault="0053601B">
      <w:pPr>
        <w:rPr>
          <w:bCs/>
        </w:rPr>
      </w:pPr>
      <w:r w:rsidRPr="0053601B">
        <w:rPr>
          <w:bCs/>
        </w:rPr>
        <w:t>Mevsim ve takvim etkilerinden arındırılmış GSYH zincirlenmiş hacim endeksi, bir önceki çeyreğe göre %0,6 arttı. Takvim etkisinden arındırılmış GSYH zincirlenmiş hacim endeksi, 2020 yılı birinci çeyreğinde bir önceki yılın aynı çeyreğine göre %4,2 arttı.</w:t>
      </w:r>
      <w:r>
        <w:rPr>
          <w:bCs/>
        </w:rPr>
        <w:t xml:space="preserve"> </w:t>
      </w:r>
      <w:r w:rsidRPr="0053601B">
        <w:rPr>
          <w:bCs/>
        </w:rPr>
        <w:t>GSYH 2020 yılının birinci çeyreğinde cari fiyatlarla 1 trilyon 71 milyar 98 milyon TL oldu</w:t>
      </w:r>
      <w:r>
        <w:rPr>
          <w:bCs/>
        </w:rPr>
        <w:t>.</w:t>
      </w:r>
    </w:p>
    <w:p w:rsidR="0053601B" w:rsidRDefault="0053601B">
      <w:pPr>
        <w:rPr>
          <w:bCs/>
        </w:rPr>
      </w:pPr>
      <w:r w:rsidRPr="0053601B">
        <w:rPr>
          <w:bCs/>
        </w:rPr>
        <w:t xml:space="preserve">Üretim yöntemiyle Gayrisafi Yurt İçi </w:t>
      </w:r>
      <w:proofErr w:type="gramStart"/>
      <w:r w:rsidRPr="0053601B">
        <w:rPr>
          <w:bCs/>
        </w:rPr>
        <w:t>Hasıla</w:t>
      </w:r>
      <w:proofErr w:type="gramEnd"/>
      <w:r w:rsidRPr="0053601B">
        <w:rPr>
          <w:bCs/>
        </w:rPr>
        <w:t xml:space="preserve"> tahmini, 2020 yılının birinci çeyreğinde cari fiyatlarla bir önceki yılın aynı çeyreğine göre %16,2 artarak 1 trilyon 71 milyar 98 milyon TL oldu. GSYH'nin birinci çeyrek değeri cari fiyatlarla ABD doları bazında 176 milyar 146 milyon olarak gerçekleşti.</w:t>
      </w:r>
    </w:p>
    <w:p w:rsidR="0053601B" w:rsidRDefault="0053601B">
      <w:pPr>
        <w:rPr>
          <w:bCs/>
        </w:rPr>
      </w:pPr>
    </w:p>
    <w:p w:rsidR="0053601B" w:rsidRDefault="00EC4500">
      <w:pPr>
        <w:rPr>
          <w:bCs/>
        </w:rPr>
      </w:pPr>
      <w:r>
        <w:rPr>
          <w:bCs/>
        </w:rPr>
        <w:pict>
          <v:shape id="_x0000_i1026" type="#_x0000_t75" style="width:453pt;height:255pt">
            <v:imagedata r:id="rId6" o:title="2-Uretim_Yontemiyle_GSYH"/>
          </v:shape>
        </w:pict>
      </w:r>
    </w:p>
    <w:p w:rsidR="0053601B" w:rsidRDefault="0053601B">
      <w:pPr>
        <w:rPr>
          <w:bCs/>
        </w:rPr>
      </w:pPr>
    </w:p>
    <w:p w:rsidR="0053601B" w:rsidRDefault="0053601B">
      <w:pPr>
        <w:rPr>
          <w:b/>
          <w:bCs/>
        </w:rPr>
      </w:pPr>
      <w:r w:rsidRPr="0053601B">
        <w:rPr>
          <w:b/>
          <w:bCs/>
        </w:rPr>
        <w:t>Devletin nihai tüketim harcamaları</w:t>
      </w:r>
    </w:p>
    <w:p w:rsidR="0053601B" w:rsidRDefault="0053601B">
      <w:pPr>
        <w:rPr>
          <w:bCs/>
        </w:rPr>
      </w:pPr>
      <w:r w:rsidRPr="0053601B">
        <w:rPr>
          <w:bCs/>
        </w:rPr>
        <w:t xml:space="preserve">Devletin nihai tüketim harcamaları, 2020 yılının birinci çeyreğinde bir önceki yılın aynı çeyreğine göre zincirlenmiş hacim endeksi olarak %6,2 arttı. Yerleşik </w:t>
      </w:r>
      <w:proofErr w:type="spellStart"/>
      <w:r w:rsidRPr="0053601B">
        <w:rPr>
          <w:bCs/>
        </w:rPr>
        <w:t>hanehalklarının</w:t>
      </w:r>
      <w:proofErr w:type="spellEnd"/>
      <w:r w:rsidRPr="0053601B">
        <w:rPr>
          <w:bCs/>
        </w:rPr>
        <w:t xml:space="preserve"> ve </w:t>
      </w:r>
      <w:proofErr w:type="spellStart"/>
      <w:r w:rsidRPr="0053601B">
        <w:rPr>
          <w:bCs/>
        </w:rPr>
        <w:t>hanehalkına</w:t>
      </w:r>
      <w:proofErr w:type="spellEnd"/>
      <w:r w:rsidRPr="0053601B">
        <w:rPr>
          <w:bCs/>
        </w:rPr>
        <w:t xml:space="preserve"> hizmet eden kar amacı olmayan kuruluşların (HHKOK) toplam nihai tüketim harcamaları %5,1 artarken gayrisafi sabit sermaye oluşumu %1,4 azaldı.</w:t>
      </w:r>
    </w:p>
    <w:p w:rsidR="0053601B" w:rsidRDefault="0053601B">
      <w:pPr>
        <w:rPr>
          <w:bCs/>
        </w:rPr>
      </w:pPr>
    </w:p>
    <w:p w:rsidR="0053601B" w:rsidRDefault="00EC4500">
      <w:pPr>
        <w:rPr>
          <w:bCs/>
        </w:rPr>
      </w:pPr>
      <w:r>
        <w:rPr>
          <w:bCs/>
        </w:rPr>
        <w:pict>
          <v:shape id="_x0000_i1027" type="#_x0000_t75" style="width:453pt;height:255pt">
            <v:imagedata r:id="rId7" o:title="3-Harcama_Yontemiyle_GSYH"/>
          </v:shape>
        </w:pict>
      </w:r>
    </w:p>
    <w:p w:rsidR="0053601B" w:rsidRDefault="0053601B">
      <w:pPr>
        <w:rPr>
          <w:bCs/>
        </w:rPr>
      </w:pPr>
    </w:p>
    <w:p w:rsidR="0053601B" w:rsidRDefault="0053601B">
      <w:pPr>
        <w:rPr>
          <w:b/>
          <w:bCs/>
        </w:rPr>
      </w:pPr>
      <w:r w:rsidRPr="0053601B">
        <w:rPr>
          <w:b/>
          <w:bCs/>
        </w:rPr>
        <w:t>Mal ve hizmet ithalatı</w:t>
      </w:r>
    </w:p>
    <w:p w:rsidR="0053601B" w:rsidRDefault="0053601B">
      <w:pPr>
        <w:rPr>
          <w:bCs/>
        </w:rPr>
      </w:pPr>
      <w:r w:rsidRPr="0053601B">
        <w:rPr>
          <w:bCs/>
        </w:rPr>
        <w:t>Mal ve hizmet ithalatı, 2020 yılının birinci çeyreğinde bir önceki yılın aynı çeyreğine göre zincirlenmiş hacim endeksi olarak %22,1 arttı ihracatı ise %1,0 azaldı.</w:t>
      </w:r>
    </w:p>
    <w:p w:rsidR="0053601B" w:rsidRDefault="0053601B">
      <w:pPr>
        <w:rPr>
          <w:b/>
          <w:bCs/>
        </w:rPr>
      </w:pPr>
      <w:r w:rsidRPr="0053601B">
        <w:rPr>
          <w:b/>
          <w:bCs/>
        </w:rPr>
        <w:t>İşgücü ödemeleri </w:t>
      </w:r>
    </w:p>
    <w:p w:rsidR="0053601B" w:rsidRDefault="0053601B">
      <w:pPr>
        <w:rPr>
          <w:bCs/>
        </w:rPr>
      </w:pPr>
      <w:r w:rsidRPr="0053601B">
        <w:rPr>
          <w:bCs/>
        </w:rPr>
        <w:t>İşgücü ödemeleri, 2020 yılının birinci çeyreğinde bir önceki yılın aynı çeyreğine göre %14,6, net işletme artığı/karma gelir %19,6 arttı.</w:t>
      </w:r>
    </w:p>
    <w:p w:rsidR="0053601B" w:rsidRDefault="0053601B">
      <w:pPr>
        <w:rPr>
          <w:b/>
          <w:bCs/>
        </w:rPr>
      </w:pPr>
      <w:r w:rsidRPr="0053601B">
        <w:rPr>
          <w:b/>
          <w:bCs/>
        </w:rPr>
        <w:t>İşgücü ödemelerinin Gayrisafi Katma Değer içerisindeki payı</w:t>
      </w:r>
    </w:p>
    <w:p w:rsidR="0053601B" w:rsidRDefault="0053601B">
      <w:pPr>
        <w:rPr>
          <w:bCs/>
        </w:rPr>
      </w:pPr>
      <w:r w:rsidRPr="0053601B">
        <w:rPr>
          <w:bCs/>
        </w:rPr>
        <w:t>İşgücü ödemelerinin cari fiyatlarla Gayrisafi Katma Değer içerisindeki payı geçen yılın birinci çeyreğinde %39,0 iken bu oran 2020 yılında %38,6 oldu. Net işletme artığı/karma gelirin payı ise %40,7'den %42,1'e yükseldi.</w:t>
      </w:r>
    </w:p>
    <w:p w:rsidR="0053601B" w:rsidRDefault="0053601B">
      <w:pPr>
        <w:rPr>
          <w:bCs/>
        </w:rPr>
      </w:pPr>
      <w:r w:rsidRPr="0053601B">
        <w:rPr>
          <w:bCs/>
        </w:rPr>
        <w:t xml:space="preserve">Türkiye ekonomisi, küresel çapta belirsizliklerin arttığı ilk çeyrekte yakaladığı yüzde 4,5'lik büyümeyle diğer ülkeleri geride bıraktı. </w:t>
      </w:r>
      <w:proofErr w:type="spellStart"/>
      <w:r w:rsidRPr="0053601B">
        <w:rPr>
          <w:bCs/>
        </w:rPr>
        <w:t>Kotornavirüs</w:t>
      </w:r>
      <w:proofErr w:type="spellEnd"/>
      <w:r w:rsidRPr="0053601B">
        <w:rPr>
          <w:bCs/>
        </w:rPr>
        <w:t xml:space="preserve"> kayaklı zorluların ön plana çıktığı bir ortamda birçok ülke daralırken, Türkiye ekonomisi peş peşe 3 çeyrek büyüyerek diğer ülkelerden pozitif ayrıştı.</w:t>
      </w:r>
    </w:p>
    <w:p w:rsidR="009917D5" w:rsidRDefault="00EC4500">
      <w:pPr>
        <w:rPr>
          <w:bCs/>
        </w:rPr>
      </w:pPr>
      <w:r>
        <w:rPr>
          <w:bCs/>
        </w:rPr>
        <w:lastRenderedPageBreak/>
        <w:pict>
          <v:shape id="_x0000_i1028" type="#_x0000_t75" style="width:453pt;height:255pt">
            <v:imagedata r:id="rId8" o:title="1-Yilliklandirilmis_GSYH_Buyumesi"/>
          </v:shape>
        </w:pict>
      </w:r>
    </w:p>
    <w:p w:rsidR="0053601B" w:rsidRPr="0053601B" w:rsidRDefault="0053601B">
      <w:pPr>
        <w:rPr>
          <w:bCs/>
        </w:rPr>
      </w:pPr>
    </w:p>
    <w:sectPr w:rsidR="0053601B" w:rsidRPr="0053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61"/>
    <w:rsid w:val="00331361"/>
    <w:rsid w:val="0053601B"/>
    <w:rsid w:val="009917D5"/>
    <w:rsid w:val="009F2749"/>
    <w:rsid w:val="00B4697C"/>
    <w:rsid w:val="00EC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Misafir</dc:creator>
  <cp:keywords/>
  <dc:description/>
  <cp:lastModifiedBy>Misafir</cp:lastModifiedBy>
  <cp:revision>3</cp:revision>
  <dcterms:created xsi:type="dcterms:W3CDTF">2020-09-18T12:00:00Z</dcterms:created>
  <dcterms:modified xsi:type="dcterms:W3CDTF">2020-09-18T12:33:00Z</dcterms:modified>
</cp:coreProperties>
</file>