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FB8" w:rsidRDefault="00DB5FB8" w:rsidP="00B760B5">
      <w:pPr>
        <w:spacing w:after="0" w:line="240" w:lineRule="auto"/>
        <w:jc w:val="center"/>
        <w:rPr>
          <w:rFonts w:ascii="Times New Roman" w:eastAsia="Times New Roman" w:hAnsi="Times New Roman" w:cs="Times New Roman"/>
          <w:b/>
          <w:bCs/>
          <w:color w:val="000000"/>
          <w:sz w:val="28"/>
          <w:bdr w:val="none" w:sz="0" w:space="0" w:color="auto" w:frame="1"/>
        </w:rPr>
      </w:pPr>
      <w:r>
        <w:rPr>
          <w:rFonts w:ascii="Times New Roman" w:eastAsia="Times New Roman" w:hAnsi="Times New Roman" w:cs="Times New Roman"/>
          <w:b/>
          <w:bCs/>
          <w:color w:val="000000"/>
          <w:sz w:val="28"/>
          <w:bdr w:val="none" w:sz="0" w:space="0" w:color="auto" w:frame="1"/>
        </w:rPr>
        <w:t xml:space="preserve">KUTSO DERGİ - SAYI 188 </w:t>
      </w:r>
    </w:p>
    <w:p w:rsidR="00DB5FB8" w:rsidRDefault="00DB5FB8" w:rsidP="00B760B5">
      <w:pPr>
        <w:spacing w:after="0" w:line="240" w:lineRule="auto"/>
        <w:jc w:val="center"/>
        <w:rPr>
          <w:rFonts w:ascii="Times New Roman" w:eastAsia="Times New Roman" w:hAnsi="Times New Roman" w:cs="Times New Roman"/>
          <w:b/>
          <w:bCs/>
          <w:color w:val="000000"/>
          <w:sz w:val="28"/>
          <w:bdr w:val="none" w:sz="0" w:space="0" w:color="auto" w:frame="1"/>
        </w:rPr>
      </w:pPr>
      <w:r>
        <w:rPr>
          <w:rFonts w:ascii="Times New Roman" w:eastAsia="Times New Roman" w:hAnsi="Times New Roman" w:cs="Times New Roman"/>
          <w:b/>
          <w:bCs/>
          <w:color w:val="000000"/>
          <w:sz w:val="28"/>
          <w:bdr w:val="none" w:sz="0" w:space="0" w:color="auto" w:frame="1"/>
        </w:rPr>
        <w:t xml:space="preserve">ARAŞTIRMA </w:t>
      </w:r>
    </w:p>
    <w:p w:rsidR="00DB5FB8" w:rsidRDefault="00DB5FB8" w:rsidP="00B760B5">
      <w:pPr>
        <w:spacing w:after="0" w:line="240" w:lineRule="auto"/>
        <w:jc w:val="center"/>
        <w:rPr>
          <w:rFonts w:ascii="Times New Roman" w:eastAsia="Times New Roman" w:hAnsi="Times New Roman" w:cs="Times New Roman"/>
          <w:b/>
          <w:bCs/>
          <w:color w:val="000000"/>
          <w:sz w:val="28"/>
          <w:bdr w:val="none" w:sz="0" w:space="0" w:color="auto" w:frame="1"/>
        </w:rPr>
      </w:pPr>
    </w:p>
    <w:p w:rsidR="00400D77" w:rsidRPr="00400D77" w:rsidRDefault="00C005B3" w:rsidP="00B760B5">
      <w:pPr>
        <w:spacing w:after="0" w:line="240" w:lineRule="auto"/>
        <w:jc w:val="center"/>
        <w:rPr>
          <w:rFonts w:ascii="Times New Roman" w:eastAsia="Times New Roman" w:hAnsi="Times New Roman" w:cs="Times New Roman"/>
          <w:b/>
          <w:bCs/>
          <w:color w:val="000000"/>
          <w:sz w:val="28"/>
          <w:bdr w:val="none" w:sz="0" w:space="0" w:color="auto" w:frame="1"/>
        </w:rPr>
      </w:pPr>
      <w:r>
        <w:rPr>
          <w:rFonts w:ascii="Times New Roman" w:eastAsia="Times New Roman" w:hAnsi="Times New Roman" w:cs="Times New Roman"/>
          <w:b/>
          <w:bCs/>
          <w:color w:val="000000"/>
          <w:sz w:val="28"/>
          <w:bdr w:val="none" w:sz="0" w:space="0" w:color="auto" w:frame="1"/>
        </w:rPr>
        <w:t>KÜTAHYA</w:t>
      </w:r>
      <w:r w:rsidR="00EF7958">
        <w:rPr>
          <w:rFonts w:ascii="Times New Roman" w:eastAsia="Times New Roman" w:hAnsi="Times New Roman" w:cs="Times New Roman"/>
          <w:b/>
          <w:bCs/>
          <w:color w:val="000000"/>
          <w:sz w:val="28"/>
          <w:bdr w:val="none" w:sz="0" w:space="0" w:color="auto" w:frame="1"/>
        </w:rPr>
        <w:t>’NIN</w:t>
      </w:r>
      <w:r>
        <w:rPr>
          <w:rFonts w:ascii="Times New Roman" w:eastAsia="Times New Roman" w:hAnsi="Times New Roman" w:cs="Times New Roman"/>
          <w:b/>
          <w:bCs/>
          <w:color w:val="000000"/>
          <w:sz w:val="28"/>
          <w:bdr w:val="none" w:sz="0" w:space="0" w:color="auto" w:frame="1"/>
        </w:rPr>
        <w:t xml:space="preserve"> </w:t>
      </w:r>
      <w:r w:rsidR="00400D77">
        <w:rPr>
          <w:rFonts w:ascii="Times New Roman" w:eastAsia="Times New Roman" w:hAnsi="Times New Roman" w:cs="Times New Roman"/>
          <w:b/>
          <w:bCs/>
          <w:color w:val="000000"/>
          <w:sz w:val="28"/>
          <w:bdr w:val="none" w:sz="0" w:space="0" w:color="auto" w:frame="1"/>
        </w:rPr>
        <w:t>DIŞ TİCARET</w:t>
      </w:r>
      <w:r w:rsidR="00EF7958">
        <w:rPr>
          <w:rFonts w:ascii="Times New Roman" w:eastAsia="Times New Roman" w:hAnsi="Times New Roman" w:cs="Times New Roman"/>
          <w:b/>
          <w:bCs/>
          <w:color w:val="000000"/>
          <w:sz w:val="28"/>
          <w:bdr w:val="none" w:sz="0" w:space="0" w:color="auto" w:frame="1"/>
        </w:rPr>
        <w:t>İ</w:t>
      </w:r>
    </w:p>
    <w:p w:rsidR="00B760B5" w:rsidRDefault="00C005B3" w:rsidP="00146ED7">
      <w:pPr>
        <w:pStyle w:val="NormalWeb"/>
        <w:jc w:val="both"/>
        <w:rPr>
          <w:color w:val="000000"/>
          <w:bdr w:val="none" w:sz="0" w:space="0" w:color="auto" w:frame="1"/>
        </w:rPr>
      </w:pPr>
      <w:r>
        <w:rPr>
          <w:color w:val="000000"/>
        </w:rPr>
        <w:tab/>
      </w:r>
      <w:r>
        <w:t>TÜİK</w:t>
      </w:r>
      <w:r w:rsidRPr="00B20B26">
        <w:rPr>
          <w:color w:val="000000"/>
        </w:rPr>
        <w:t xml:space="preserve"> Dış </w:t>
      </w:r>
      <w:r>
        <w:rPr>
          <w:color w:val="000000"/>
        </w:rPr>
        <w:t xml:space="preserve">Ticaret İstatistiklerinin </w:t>
      </w:r>
      <w:r w:rsidRPr="0049150D">
        <w:rPr>
          <w:color w:val="000000"/>
          <w:u w:val="single"/>
        </w:rPr>
        <w:t>ana veri kaynağı gümrük beyannameleridir</w:t>
      </w:r>
      <w:r w:rsidRPr="00B20B26">
        <w:rPr>
          <w:color w:val="000000"/>
        </w:rPr>
        <w:t>. Ham petrol, doğalgaz ve elektrik verileri firmalardan alınmaktadır.</w:t>
      </w:r>
      <w:r>
        <w:rPr>
          <w:color w:val="000000"/>
        </w:rPr>
        <w:t xml:space="preserve"> </w:t>
      </w:r>
      <w:r w:rsidRPr="00B20B26">
        <w:rPr>
          <w:bCs/>
          <w:color w:val="000000"/>
        </w:rPr>
        <w:t>İşlemlerin kaydedilme zamanı</w:t>
      </w:r>
      <w:r w:rsidRPr="00B20B26">
        <w:rPr>
          <w:color w:val="000000"/>
        </w:rPr>
        <w:t xml:space="preserve"> beyanname üstündeki tarihtir ve beyannamenin kapanış tarihine, başka bir deyişle eşyanın sınırı geçtiği tarihe tekabül etmektedir. </w:t>
      </w:r>
      <w:r w:rsidR="009A0955" w:rsidRPr="009A0955">
        <w:rPr>
          <w:color w:val="000000"/>
        </w:rPr>
        <w:t>Toplanan temel istatistiksel değişkenler; mal akışı, referans dönemi, gümrük, mal kodu, ülke, taşıma aracının milliyeti, taşıma şekli, gümrük rejimi, istatistiksel değer (ihracat FOB, ithalat CIF), net ağırlık (kg), tamamlayıcı birim (adet, metre, m2, m3 vb) teslim şekli, ödeme şekli ve sözleşme kodu</w:t>
      </w:r>
      <w:r w:rsidR="003A2567">
        <w:rPr>
          <w:color w:val="000000"/>
        </w:rPr>
        <w:t xml:space="preserve"> olarak sıralanabilir.</w:t>
      </w:r>
      <w:r w:rsidR="009A0955" w:rsidRPr="009A0955">
        <w:rPr>
          <w:color w:val="000000"/>
        </w:rPr>
        <w:t xml:space="preserve">  </w:t>
      </w:r>
      <w:r w:rsidR="00146ED7" w:rsidRPr="009F6188">
        <w:rPr>
          <w:color w:val="000000"/>
          <w:bdr w:val="none" w:sz="0" w:space="0" w:color="auto" w:frame="1"/>
        </w:rPr>
        <w:t>İthalat için menşei ülke, ihracat</w:t>
      </w:r>
      <w:r w:rsidR="00146ED7">
        <w:rPr>
          <w:color w:val="000000"/>
          <w:bdr w:val="none" w:sz="0" w:space="0" w:color="auto" w:frame="1"/>
        </w:rPr>
        <w:t xml:space="preserve"> için gideceği bilinen son ülke </w:t>
      </w:r>
      <w:r w:rsidR="00146ED7" w:rsidRPr="009F6188">
        <w:rPr>
          <w:color w:val="000000"/>
          <w:bdr w:val="none" w:sz="0" w:space="0" w:color="auto" w:frame="1"/>
        </w:rPr>
        <w:t>kullanılmaktadır.</w:t>
      </w:r>
    </w:p>
    <w:p w:rsidR="00097EEC" w:rsidRDefault="00146ED7" w:rsidP="00146ED7">
      <w:pPr>
        <w:pStyle w:val="NormalWeb"/>
        <w:jc w:val="both"/>
        <w:rPr>
          <w:color w:val="000000"/>
          <w:bdr w:val="none" w:sz="0" w:space="0" w:color="auto" w:frame="1"/>
        </w:rPr>
      </w:pPr>
      <w:r>
        <w:rPr>
          <w:color w:val="000000"/>
          <w:bdr w:val="none" w:sz="0" w:space="0" w:color="auto" w:frame="1"/>
        </w:rPr>
        <w:tab/>
      </w:r>
      <w:r w:rsidR="00C005B3" w:rsidRPr="00146ED7">
        <w:rPr>
          <w:color w:val="000000"/>
        </w:rPr>
        <w:t>İllere göre Dış Ticaret İstatistikleri, girişimlerin merkez adresleri için Gelir İdaresi Başkanlığı sicil kayıtları esas alınmaktadır,</w:t>
      </w:r>
      <w:r w:rsidR="00A011F9">
        <w:rPr>
          <w:color w:val="000000"/>
        </w:rPr>
        <w:t xml:space="preserve"> </w:t>
      </w:r>
      <w:r w:rsidR="00C005B3" w:rsidRPr="00146ED7">
        <w:rPr>
          <w:color w:val="000000"/>
        </w:rPr>
        <w:t>bununla beraber TÜİK tarafından 20+ çalışan sayısı olan girişimlerle yapılan anket sonuçlarından da yararlanılmaktadır. Girişim merkez adreslerinin bulunduğu iller yıldan yıla değişebileceği için yıllar arası karşılaştırmalarda bu durum dikkate alınmalıdır.</w:t>
      </w:r>
      <w:r w:rsidRPr="00146ED7">
        <w:rPr>
          <w:color w:val="000000"/>
        </w:rPr>
        <w:t xml:space="preserve"> </w:t>
      </w:r>
      <w:r w:rsidR="009F6188" w:rsidRPr="00146ED7">
        <w:rPr>
          <w:bCs/>
          <w:color w:val="000000"/>
          <w:bdr w:val="none" w:sz="0" w:space="0" w:color="auto" w:frame="1"/>
        </w:rPr>
        <w:t xml:space="preserve">İşlemlerin kaydedilme </w:t>
      </w:r>
      <w:r w:rsidR="009F6188" w:rsidRPr="00146ED7">
        <w:rPr>
          <w:color w:val="000000"/>
          <w:bdr w:val="none" w:sz="0" w:space="0" w:color="auto" w:frame="1"/>
        </w:rPr>
        <w:t>zamanı beyanname üstündeki tarihtir ve beyannamenin kapanış tarihine, başka bir deyişle eşyanın sınırı geçtiği tarihe tekabül etmektedir.</w:t>
      </w:r>
    </w:p>
    <w:tbl>
      <w:tblPr>
        <w:tblW w:w="9187" w:type="dxa"/>
        <w:tblInd w:w="57" w:type="dxa"/>
        <w:tblCellMar>
          <w:left w:w="70" w:type="dxa"/>
          <w:right w:w="70" w:type="dxa"/>
        </w:tblCellMar>
        <w:tblLook w:val="04A0" w:firstRow="1" w:lastRow="0" w:firstColumn="1" w:lastColumn="0" w:noHBand="0" w:noVBand="1"/>
      </w:tblPr>
      <w:tblGrid>
        <w:gridCol w:w="1062"/>
        <w:gridCol w:w="2271"/>
        <w:gridCol w:w="2271"/>
        <w:gridCol w:w="3583"/>
      </w:tblGrid>
      <w:tr w:rsidR="00097EEC" w:rsidRPr="00097EEC" w:rsidTr="00097EEC">
        <w:trPr>
          <w:trHeight w:val="548"/>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EEC" w:rsidRPr="00097EEC" w:rsidRDefault="00097EEC" w:rsidP="00097EEC">
            <w:pPr>
              <w:spacing w:after="0" w:line="240" w:lineRule="auto"/>
              <w:jc w:val="center"/>
              <w:rPr>
                <w:rFonts w:ascii="Calibri" w:eastAsia="Times New Roman" w:hAnsi="Calibri" w:cs="Times New Roman"/>
                <w:b/>
                <w:bCs/>
                <w:color w:val="000000"/>
              </w:rPr>
            </w:pPr>
            <w:r w:rsidRPr="00097EEC">
              <w:rPr>
                <w:rFonts w:ascii="Calibri" w:eastAsia="Times New Roman" w:hAnsi="Calibri" w:cs="Times New Roman"/>
                <w:b/>
                <w:bCs/>
                <w:color w:val="000000"/>
              </w:rPr>
              <w:t>Yıl</w:t>
            </w:r>
          </w:p>
        </w:tc>
        <w:tc>
          <w:tcPr>
            <w:tcW w:w="2271" w:type="dxa"/>
            <w:tcBorders>
              <w:top w:val="single" w:sz="4" w:space="0" w:color="auto"/>
              <w:left w:val="nil"/>
              <w:bottom w:val="single" w:sz="4" w:space="0" w:color="auto"/>
              <w:right w:val="single" w:sz="4" w:space="0" w:color="auto"/>
            </w:tcBorders>
            <w:shd w:val="clear" w:color="auto" w:fill="auto"/>
            <w:vAlign w:val="center"/>
            <w:hideMark/>
          </w:tcPr>
          <w:p w:rsidR="00097EEC" w:rsidRPr="00097EEC" w:rsidRDefault="00097EEC" w:rsidP="00097EEC">
            <w:pPr>
              <w:spacing w:after="0" w:line="240" w:lineRule="auto"/>
              <w:jc w:val="center"/>
              <w:rPr>
                <w:rFonts w:ascii="Calibri" w:eastAsia="Times New Roman" w:hAnsi="Calibri" w:cs="Times New Roman"/>
                <w:b/>
                <w:bCs/>
                <w:color w:val="000000"/>
              </w:rPr>
            </w:pPr>
            <w:r w:rsidRPr="00097EEC">
              <w:rPr>
                <w:rFonts w:ascii="Calibri" w:eastAsia="Times New Roman" w:hAnsi="Calibri" w:cs="Times New Roman"/>
                <w:b/>
                <w:bCs/>
                <w:color w:val="000000"/>
              </w:rPr>
              <w:t>İhracat ($)</w:t>
            </w:r>
          </w:p>
        </w:tc>
        <w:tc>
          <w:tcPr>
            <w:tcW w:w="2271" w:type="dxa"/>
            <w:tcBorders>
              <w:top w:val="single" w:sz="4" w:space="0" w:color="auto"/>
              <w:left w:val="nil"/>
              <w:bottom w:val="single" w:sz="4" w:space="0" w:color="auto"/>
              <w:right w:val="single" w:sz="4" w:space="0" w:color="auto"/>
            </w:tcBorders>
            <w:shd w:val="clear" w:color="auto" w:fill="auto"/>
            <w:vAlign w:val="center"/>
            <w:hideMark/>
          </w:tcPr>
          <w:p w:rsidR="00097EEC" w:rsidRPr="00097EEC" w:rsidRDefault="00097EEC" w:rsidP="00097EEC">
            <w:pPr>
              <w:spacing w:after="0" w:line="240" w:lineRule="auto"/>
              <w:jc w:val="center"/>
              <w:rPr>
                <w:rFonts w:ascii="Calibri" w:eastAsia="Times New Roman" w:hAnsi="Calibri" w:cs="Times New Roman"/>
                <w:b/>
                <w:bCs/>
                <w:color w:val="000000"/>
              </w:rPr>
            </w:pPr>
            <w:r w:rsidRPr="00097EEC">
              <w:rPr>
                <w:rFonts w:ascii="Calibri" w:eastAsia="Times New Roman" w:hAnsi="Calibri" w:cs="Times New Roman"/>
                <w:b/>
                <w:bCs/>
                <w:color w:val="000000"/>
              </w:rPr>
              <w:t>İthalat ($)</w:t>
            </w:r>
          </w:p>
        </w:tc>
        <w:tc>
          <w:tcPr>
            <w:tcW w:w="3583" w:type="dxa"/>
            <w:tcBorders>
              <w:top w:val="single" w:sz="4" w:space="0" w:color="auto"/>
              <w:left w:val="nil"/>
              <w:bottom w:val="single" w:sz="4" w:space="0" w:color="auto"/>
              <w:right w:val="single" w:sz="4" w:space="0" w:color="auto"/>
            </w:tcBorders>
            <w:shd w:val="clear" w:color="auto" w:fill="auto"/>
            <w:vAlign w:val="center"/>
            <w:hideMark/>
          </w:tcPr>
          <w:p w:rsidR="00097EEC" w:rsidRPr="00097EEC" w:rsidRDefault="00097EEC" w:rsidP="00097EEC">
            <w:pPr>
              <w:spacing w:after="0" w:line="240" w:lineRule="auto"/>
              <w:jc w:val="center"/>
              <w:rPr>
                <w:rFonts w:ascii="Calibri" w:eastAsia="Times New Roman" w:hAnsi="Calibri" w:cs="Times New Roman"/>
                <w:b/>
                <w:bCs/>
                <w:color w:val="000000"/>
              </w:rPr>
            </w:pPr>
            <w:r w:rsidRPr="00097EEC">
              <w:rPr>
                <w:rFonts w:ascii="Calibri" w:eastAsia="Times New Roman" w:hAnsi="Calibri" w:cs="Times New Roman"/>
                <w:b/>
                <w:bCs/>
                <w:color w:val="000000"/>
              </w:rPr>
              <w:t>İhracatın İthalatı Karşılama Oranı (%)</w:t>
            </w:r>
          </w:p>
        </w:tc>
      </w:tr>
      <w:tr w:rsidR="00097EEC" w:rsidRPr="00097EEC" w:rsidTr="00097EEC">
        <w:trPr>
          <w:trHeight w:val="274"/>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097EEC" w:rsidRPr="00097EEC" w:rsidRDefault="00097EEC" w:rsidP="00097EEC">
            <w:pPr>
              <w:spacing w:after="0" w:line="240" w:lineRule="auto"/>
              <w:jc w:val="center"/>
              <w:rPr>
                <w:rFonts w:ascii="Calibri" w:eastAsia="Times New Roman" w:hAnsi="Calibri" w:cs="Times New Roman"/>
                <w:b/>
                <w:bCs/>
                <w:color w:val="000000"/>
              </w:rPr>
            </w:pPr>
            <w:r w:rsidRPr="00097EEC">
              <w:rPr>
                <w:rFonts w:ascii="Calibri" w:eastAsia="Times New Roman" w:hAnsi="Calibri" w:cs="Times New Roman"/>
                <w:b/>
                <w:bCs/>
                <w:color w:val="000000"/>
              </w:rPr>
              <w:t>2011</w:t>
            </w:r>
          </w:p>
        </w:tc>
        <w:tc>
          <w:tcPr>
            <w:tcW w:w="2271" w:type="dxa"/>
            <w:tcBorders>
              <w:top w:val="nil"/>
              <w:left w:val="nil"/>
              <w:bottom w:val="single" w:sz="4" w:space="0" w:color="auto"/>
              <w:right w:val="single" w:sz="4" w:space="0" w:color="auto"/>
            </w:tcBorders>
            <w:shd w:val="clear" w:color="auto" w:fill="auto"/>
            <w:noWrap/>
            <w:vAlign w:val="center"/>
            <w:hideMark/>
          </w:tcPr>
          <w:p w:rsidR="00097EEC" w:rsidRPr="00097EEC" w:rsidRDefault="00097EEC" w:rsidP="00097EEC">
            <w:pPr>
              <w:spacing w:after="0" w:line="240" w:lineRule="auto"/>
              <w:jc w:val="center"/>
              <w:rPr>
                <w:rFonts w:ascii="Calibri" w:eastAsia="Times New Roman" w:hAnsi="Calibri" w:cs="Times New Roman"/>
                <w:color w:val="000000"/>
              </w:rPr>
            </w:pPr>
            <w:r w:rsidRPr="00097EEC">
              <w:rPr>
                <w:rFonts w:ascii="Calibri" w:eastAsia="Times New Roman" w:hAnsi="Calibri" w:cs="Times New Roman"/>
                <w:color w:val="000000"/>
              </w:rPr>
              <w:t>153.767.534</w:t>
            </w:r>
          </w:p>
        </w:tc>
        <w:tc>
          <w:tcPr>
            <w:tcW w:w="2271" w:type="dxa"/>
            <w:tcBorders>
              <w:top w:val="nil"/>
              <w:left w:val="nil"/>
              <w:bottom w:val="single" w:sz="4" w:space="0" w:color="auto"/>
              <w:right w:val="single" w:sz="4" w:space="0" w:color="auto"/>
            </w:tcBorders>
            <w:shd w:val="clear" w:color="auto" w:fill="auto"/>
            <w:noWrap/>
            <w:vAlign w:val="center"/>
            <w:hideMark/>
          </w:tcPr>
          <w:p w:rsidR="00097EEC" w:rsidRPr="00097EEC" w:rsidRDefault="00097EEC" w:rsidP="00097EEC">
            <w:pPr>
              <w:spacing w:after="0" w:line="240" w:lineRule="auto"/>
              <w:jc w:val="center"/>
              <w:rPr>
                <w:rFonts w:ascii="Calibri" w:eastAsia="Times New Roman" w:hAnsi="Calibri" w:cs="Times New Roman"/>
                <w:color w:val="000000"/>
              </w:rPr>
            </w:pPr>
            <w:r w:rsidRPr="00097EEC">
              <w:rPr>
                <w:rFonts w:ascii="Calibri" w:eastAsia="Times New Roman" w:hAnsi="Calibri" w:cs="Times New Roman"/>
                <w:color w:val="000000"/>
              </w:rPr>
              <w:t>151.690.175</w:t>
            </w:r>
          </w:p>
        </w:tc>
        <w:tc>
          <w:tcPr>
            <w:tcW w:w="3583" w:type="dxa"/>
            <w:tcBorders>
              <w:top w:val="nil"/>
              <w:left w:val="nil"/>
              <w:bottom w:val="single" w:sz="4" w:space="0" w:color="auto"/>
              <w:right w:val="single" w:sz="4" w:space="0" w:color="auto"/>
            </w:tcBorders>
            <w:shd w:val="clear" w:color="auto" w:fill="auto"/>
            <w:noWrap/>
            <w:vAlign w:val="center"/>
            <w:hideMark/>
          </w:tcPr>
          <w:p w:rsidR="00097EEC" w:rsidRPr="00097EEC" w:rsidRDefault="00097EEC" w:rsidP="00097EEC">
            <w:pPr>
              <w:spacing w:after="0" w:line="240" w:lineRule="auto"/>
              <w:jc w:val="center"/>
              <w:rPr>
                <w:rFonts w:ascii="Calibri" w:eastAsia="Times New Roman" w:hAnsi="Calibri" w:cs="Times New Roman"/>
                <w:color w:val="000000"/>
              </w:rPr>
            </w:pPr>
            <w:r w:rsidRPr="00097EEC">
              <w:rPr>
                <w:rFonts w:ascii="Calibri" w:eastAsia="Times New Roman" w:hAnsi="Calibri" w:cs="Times New Roman"/>
                <w:color w:val="000000"/>
              </w:rPr>
              <w:t>101,37</w:t>
            </w:r>
          </w:p>
        </w:tc>
      </w:tr>
      <w:tr w:rsidR="00097EEC" w:rsidRPr="00097EEC" w:rsidTr="00097EEC">
        <w:trPr>
          <w:trHeight w:val="274"/>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097EEC" w:rsidRPr="00097EEC" w:rsidRDefault="00097EEC" w:rsidP="00097EEC">
            <w:pPr>
              <w:spacing w:after="0" w:line="240" w:lineRule="auto"/>
              <w:jc w:val="center"/>
              <w:rPr>
                <w:rFonts w:ascii="Calibri" w:eastAsia="Times New Roman" w:hAnsi="Calibri" w:cs="Times New Roman"/>
                <w:b/>
                <w:bCs/>
                <w:color w:val="000000"/>
              </w:rPr>
            </w:pPr>
            <w:r w:rsidRPr="00097EEC">
              <w:rPr>
                <w:rFonts w:ascii="Calibri" w:eastAsia="Times New Roman" w:hAnsi="Calibri" w:cs="Times New Roman"/>
                <w:b/>
                <w:bCs/>
                <w:color w:val="000000"/>
              </w:rPr>
              <w:t>2012</w:t>
            </w:r>
          </w:p>
        </w:tc>
        <w:tc>
          <w:tcPr>
            <w:tcW w:w="2271" w:type="dxa"/>
            <w:tcBorders>
              <w:top w:val="nil"/>
              <w:left w:val="nil"/>
              <w:bottom w:val="single" w:sz="4" w:space="0" w:color="auto"/>
              <w:right w:val="single" w:sz="4" w:space="0" w:color="auto"/>
            </w:tcBorders>
            <w:shd w:val="clear" w:color="auto" w:fill="auto"/>
            <w:noWrap/>
            <w:vAlign w:val="center"/>
            <w:hideMark/>
          </w:tcPr>
          <w:p w:rsidR="00097EEC" w:rsidRPr="00097EEC" w:rsidRDefault="00097EEC" w:rsidP="00097EEC">
            <w:pPr>
              <w:spacing w:after="0" w:line="240" w:lineRule="auto"/>
              <w:jc w:val="center"/>
              <w:rPr>
                <w:rFonts w:ascii="Calibri" w:eastAsia="Times New Roman" w:hAnsi="Calibri" w:cs="Times New Roman"/>
                <w:color w:val="000000"/>
              </w:rPr>
            </w:pPr>
            <w:r w:rsidRPr="00097EEC">
              <w:rPr>
                <w:rFonts w:ascii="Calibri" w:eastAsia="Times New Roman" w:hAnsi="Calibri" w:cs="Times New Roman"/>
                <w:color w:val="000000"/>
              </w:rPr>
              <w:t>145.487.482</w:t>
            </w:r>
          </w:p>
        </w:tc>
        <w:tc>
          <w:tcPr>
            <w:tcW w:w="2271" w:type="dxa"/>
            <w:tcBorders>
              <w:top w:val="nil"/>
              <w:left w:val="nil"/>
              <w:bottom w:val="single" w:sz="4" w:space="0" w:color="auto"/>
              <w:right w:val="single" w:sz="4" w:space="0" w:color="auto"/>
            </w:tcBorders>
            <w:shd w:val="clear" w:color="auto" w:fill="auto"/>
            <w:noWrap/>
            <w:vAlign w:val="center"/>
            <w:hideMark/>
          </w:tcPr>
          <w:p w:rsidR="00097EEC" w:rsidRPr="00097EEC" w:rsidRDefault="00097EEC" w:rsidP="00097EEC">
            <w:pPr>
              <w:spacing w:after="0" w:line="240" w:lineRule="auto"/>
              <w:jc w:val="center"/>
              <w:rPr>
                <w:rFonts w:ascii="Calibri" w:eastAsia="Times New Roman" w:hAnsi="Calibri" w:cs="Times New Roman"/>
                <w:color w:val="000000"/>
              </w:rPr>
            </w:pPr>
            <w:r w:rsidRPr="00097EEC">
              <w:rPr>
                <w:rFonts w:ascii="Calibri" w:eastAsia="Times New Roman" w:hAnsi="Calibri" w:cs="Times New Roman"/>
                <w:color w:val="000000"/>
              </w:rPr>
              <w:t>119.628.367</w:t>
            </w:r>
          </w:p>
        </w:tc>
        <w:tc>
          <w:tcPr>
            <w:tcW w:w="3583" w:type="dxa"/>
            <w:tcBorders>
              <w:top w:val="nil"/>
              <w:left w:val="nil"/>
              <w:bottom w:val="single" w:sz="4" w:space="0" w:color="auto"/>
              <w:right w:val="single" w:sz="4" w:space="0" w:color="auto"/>
            </w:tcBorders>
            <w:shd w:val="clear" w:color="auto" w:fill="auto"/>
            <w:noWrap/>
            <w:vAlign w:val="center"/>
            <w:hideMark/>
          </w:tcPr>
          <w:p w:rsidR="00097EEC" w:rsidRPr="00097EEC" w:rsidRDefault="00097EEC" w:rsidP="00097EEC">
            <w:pPr>
              <w:spacing w:after="0" w:line="240" w:lineRule="auto"/>
              <w:jc w:val="center"/>
              <w:rPr>
                <w:rFonts w:ascii="Calibri" w:eastAsia="Times New Roman" w:hAnsi="Calibri" w:cs="Times New Roman"/>
                <w:color w:val="000000"/>
              </w:rPr>
            </w:pPr>
            <w:r w:rsidRPr="00097EEC">
              <w:rPr>
                <w:rFonts w:ascii="Calibri" w:eastAsia="Times New Roman" w:hAnsi="Calibri" w:cs="Times New Roman"/>
                <w:color w:val="000000"/>
              </w:rPr>
              <w:t>121,62</w:t>
            </w:r>
          </w:p>
        </w:tc>
      </w:tr>
      <w:tr w:rsidR="00097EEC" w:rsidRPr="00097EEC" w:rsidTr="00097EEC">
        <w:trPr>
          <w:trHeight w:val="274"/>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097EEC" w:rsidRPr="00097EEC" w:rsidRDefault="00097EEC" w:rsidP="00097EEC">
            <w:pPr>
              <w:spacing w:after="0" w:line="240" w:lineRule="auto"/>
              <w:jc w:val="center"/>
              <w:rPr>
                <w:rFonts w:ascii="Calibri" w:eastAsia="Times New Roman" w:hAnsi="Calibri" w:cs="Times New Roman"/>
                <w:b/>
                <w:bCs/>
                <w:color w:val="000000"/>
              </w:rPr>
            </w:pPr>
            <w:r w:rsidRPr="00097EEC">
              <w:rPr>
                <w:rFonts w:ascii="Calibri" w:eastAsia="Times New Roman" w:hAnsi="Calibri" w:cs="Times New Roman"/>
                <w:b/>
                <w:bCs/>
                <w:color w:val="000000"/>
              </w:rPr>
              <w:t>2013</w:t>
            </w:r>
          </w:p>
        </w:tc>
        <w:tc>
          <w:tcPr>
            <w:tcW w:w="2271" w:type="dxa"/>
            <w:tcBorders>
              <w:top w:val="nil"/>
              <w:left w:val="nil"/>
              <w:bottom w:val="single" w:sz="4" w:space="0" w:color="auto"/>
              <w:right w:val="single" w:sz="4" w:space="0" w:color="auto"/>
            </w:tcBorders>
            <w:shd w:val="clear" w:color="auto" w:fill="auto"/>
            <w:noWrap/>
            <w:vAlign w:val="center"/>
            <w:hideMark/>
          </w:tcPr>
          <w:p w:rsidR="00097EEC" w:rsidRPr="00097EEC" w:rsidRDefault="00097EEC" w:rsidP="00097EEC">
            <w:pPr>
              <w:spacing w:after="0" w:line="240" w:lineRule="auto"/>
              <w:jc w:val="center"/>
              <w:rPr>
                <w:rFonts w:ascii="Calibri" w:eastAsia="Times New Roman" w:hAnsi="Calibri" w:cs="Times New Roman"/>
                <w:color w:val="000000"/>
              </w:rPr>
            </w:pPr>
            <w:r w:rsidRPr="00097EEC">
              <w:rPr>
                <w:rFonts w:ascii="Calibri" w:eastAsia="Times New Roman" w:hAnsi="Calibri" w:cs="Times New Roman"/>
                <w:color w:val="000000"/>
              </w:rPr>
              <w:t>172.693.130</w:t>
            </w:r>
          </w:p>
        </w:tc>
        <w:tc>
          <w:tcPr>
            <w:tcW w:w="2271" w:type="dxa"/>
            <w:tcBorders>
              <w:top w:val="nil"/>
              <w:left w:val="nil"/>
              <w:bottom w:val="single" w:sz="4" w:space="0" w:color="auto"/>
              <w:right w:val="single" w:sz="4" w:space="0" w:color="auto"/>
            </w:tcBorders>
            <w:shd w:val="clear" w:color="auto" w:fill="auto"/>
            <w:noWrap/>
            <w:vAlign w:val="center"/>
            <w:hideMark/>
          </w:tcPr>
          <w:p w:rsidR="00097EEC" w:rsidRPr="00097EEC" w:rsidRDefault="00097EEC" w:rsidP="00097EEC">
            <w:pPr>
              <w:spacing w:after="0" w:line="240" w:lineRule="auto"/>
              <w:jc w:val="center"/>
              <w:rPr>
                <w:rFonts w:ascii="Calibri" w:eastAsia="Times New Roman" w:hAnsi="Calibri" w:cs="Times New Roman"/>
                <w:color w:val="000000"/>
              </w:rPr>
            </w:pPr>
            <w:r w:rsidRPr="00097EEC">
              <w:rPr>
                <w:rFonts w:ascii="Calibri" w:eastAsia="Times New Roman" w:hAnsi="Calibri" w:cs="Times New Roman"/>
                <w:color w:val="000000"/>
              </w:rPr>
              <w:t>149.093.353</w:t>
            </w:r>
          </w:p>
        </w:tc>
        <w:tc>
          <w:tcPr>
            <w:tcW w:w="3583" w:type="dxa"/>
            <w:tcBorders>
              <w:top w:val="nil"/>
              <w:left w:val="nil"/>
              <w:bottom w:val="single" w:sz="4" w:space="0" w:color="auto"/>
              <w:right w:val="single" w:sz="4" w:space="0" w:color="auto"/>
            </w:tcBorders>
            <w:shd w:val="clear" w:color="auto" w:fill="auto"/>
            <w:noWrap/>
            <w:vAlign w:val="center"/>
            <w:hideMark/>
          </w:tcPr>
          <w:p w:rsidR="00097EEC" w:rsidRPr="00097EEC" w:rsidRDefault="00097EEC" w:rsidP="00097EEC">
            <w:pPr>
              <w:spacing w:after="0" w:line="240" w:lineRule="auto"/>
              <w:jc w:val="center"/>
              <w:rPr>
                <w:rFonts w:ascii="Calibri" w:eastAsia="Times New Roman" w:hAnsi="Calibri" w:cs="Times New Roman"/>
                <w:color w:val="000000"/>
              </w:rPr>
            </w:pPr>
            <w:r w:rsidRPr="00097EEC">
              <w:rPr>
                <w:rFonts w:ascii="Calibri" w:eastAsia="Times New Roman" w:hAnsi="Calibri" w:cs="Times New Roman"/>
                <w:color w:val="000000"/>
              </w:rPr>
              <w:t>115,83</w:t>
            </w:r>
          </w:p>
        </w:tc>
      </w:tr>
      <w:tr w:rsidR="00097EEC" w:rsidRPr="00097EEC" w:rsidTr="00097EEC">
        <w:trPr>
          <w:trHeight w:val="274"/>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097EEC" w:rsidRPr="00097EEC" w:rsidRDefault="00097EEC" w:rsidP="00097EEC">
            <w:pPr>
              <w:spacing w:after="0" w:line="240" w:lineRule="auto"/>
              <w:jc w:val="center"/>
              <w:rPr>
                <w:rFonts w:ascii="Calibri" w:eastAsia="Times New Roman" w:hAnsi="Calibri" w:cs="Times New Roman"/>
                <w:b/>
                <w:bCs/>
                <w:color w:val="000000"/>
              </w:rPr>
            </w:pPr>
            <w:r w:rsidRPr="00097EEC">
              <w:rPr>
                <w:rFonts w:ascii="Calibri" w:eastAsia="Times New Roman" w:hAnsi="Calibri" w:cs="Times New Roman"/>
                <w:b/>
                <w:bCs/>
                <w:color w:val="000000"/>
              </w:rPr>
              <w:t>2014</w:t>
            </w:r>
          </w:p>
        </w:tc>
        <w:tc>
          <w:tcPr>
            <w:tcW w:w="2271" w:type="dxa"/>
            <w:tcBorders>
              <w:top w:val="nil"/>
              <w:left w:val="nil"/>
              <w:bottom w:val="single" w:sz="4" w:space="0" w:color="auto"/>
              <w:right w:val="single" w:sz="4" w:space="0" w:color="auto"/>
            </w:tcBorders>
            <w:shd w:val="clear" w:color="auto" w:fill="auto"/>
            <w:noWrap/>
            <w:vAlign w:val="center"/>
            <w:hideMark/>
          </w:tcPr>
          <w:p w:rsidR="00097EEC" w:rsidRPr="00097EEC" w:rsidRDefault="00097EEC" w:rsidP="00097EEC">
            <w:pPr>
              <w:spacing w:after="0" w:line="240" w:lineRule="auto"/>
              <w:jc w:val="center"/>
              <w:rPr>
                <w:rFonts w:ascii="Calibri" w:eastAsia="Times New Roman" w:hAnsi="Calibri" w:cs="Times New Roman"/>
                <w:color w:val="000000"/>
              </w:rPr>
            </w:pPr>
            <w:r w:rsidRPr="00097EEC">
              <w:rPr>
                <w:rFonts w:ascii="Calibri" w:eastAsia="Times New Roman" w:hAnsi="Calibri" w:cs="Times New Roman"/>
                <w:color w:val="000000"/>
              </w:rPr>
              <w:t>182.877.887</w:t>
            </w:r>
          </w:p>
        </w:tc>
        <w:tc>
          <w:tcPr>
            <w:tcW w:w="2271" w:type="dxa"/>
            <w:tcBorders>
              <w:top w:val="nil"/>
              <w:left w:val="nil"/>
              <w:bottom w:val="single" w:sz="4" w:space="0" w:color="auto"/>
              <w:right w:val="single" w:sz="4" w:space="0" w:color="auto"/>
            </w:tcBorders>
            <w:shd w:val="clear" w:color="auto" w:fill="auto"/>
            <w:noWrap/>
            <w:vAlign w:val="center"/>
            <w:hideMark/>
          </w:tcPr>
          <w:p w:rsidR="00097EEC" w:rsidRPr="00097EEC" w:rsidRDefault="00097EEC" w:rsidP="00097EEC">
            <w:pPr>
              <w:spacing w:after="0" w:line="240" w:lineRule="auto"/>
              <w:jc w:val="center"/>
              <w:rPr>
                <w:rFonts w:ascii="Calibri" w:eastAsia="Times New Roman" w:hAnsi="Calibri" w:cs="Times New Roman"/>
                <w:color w:val="000000"/>
              </w:rPr>
            </w:pPr>
            <w:r w:rsidRPr="00097EEC">
              <w:rPr>
                <w:rFonts w:ascii="Calibri" w:eastAsia="Times New Roman" w:hAnsi="Calibri" w:cs="Times New Roman"/>
                <w:color w:val="000000"/>
              </w:rPr>
              <w:t>199.888.618</w:t>
            </w:r>
          </w:p>
        </w:tc>
        <w:tc>
          <w:tcPr>
            <w:tcW w:w="3583" w:type="dxa"/>
            <w:tcBorders>
              <w:top w:val="nil"/>
              <w:left w:val="nil"/>
              <w:bottom w:val="single" w:sz="4" w:space="0" w:color="auto"/>
              <w:right w:val="single" w:sz="4" w:space="0" w:color="auto"/>
            </w:tcBorders>
            <w:shd w:val="clear" w:color="auto" w:fill="auto"/>
            <w:noWrap/>
            <w:vAlign w:val="center"/>
            <w:hideMark/>
          </w:tcPr>
          <w:p w:rsidR="00097EEC" w:rsidRPr="00097EEC" w:rsidRDefault="00097EEC" w:rsidP="00097EEC">
            <w:pPr>
              <w:spacing w:after="0" w:line="240" w:lineRule="auto"/>
              <w:jc w:val="center"/>
              <w:rPr>
                <w:rFonts w:ascii="Calibri" w:eastAsia="Times New Roman" w:hAnsi="Calibri" w:cs="Times New Roman"/>
                <w:color w:val="000000"/>
              </w:rPr>
            </w:pPr>
            <w:r w:rsidRPr="00097EEC">
              <w:rPr>
                <w:rFonts w:ascii="Calibri" w:eastAsia="Times New Roman" w:hAnsi="Calibri" w:cs="Times New Roman"/>
                <w:color w:val="000000"/>
              </w:rPr>
              <w:t>91,49</w:t>
            </w:r>
          </w:p>
        </w:tc>
      </w:tr>
      <w:tr w:rsidR="00097EEC" w:rsidRPr="00097EEC" w:rsidTr="00097EEC">
        <w:trPr>
          <w:trHeight w:val="274"/>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097EEC" w:rsidRPr="00097EEC" w:rsidRDefault="00097EEC" w:rsidP="00097EEC">
            <w:pPr>
              <w:spacing w:after="0" w:line="240" w:lineRule="auto"/>
              <w:jc w:val="center"/>
              <w:rPr>
                <w:rFonts w:ascii="Calibri" w:eastAsia="Times New Roman" w:hAnsi="Calibri" w:cs="Times New Roman"/>
                <w:b/>
                <w:bCs/>
                <w:color w:val="000000"/>
              </w:rPr>
            </w:pPr>
            <w:r w:rsidRPr="00097EEC">
              <w:rPr>
                <w:rFonts w:ascii="Calibri" w:eastAsia="Times New Roman" w:hAnsi="Calibri" w:cs="Times New Roman"/>
                <w:b/>
                <w:bCs/>
                <w:color w:val="000000"/>
              </w:rPr>
              <w:t>2015</w:t>
            </w:r>
          </w:p>
        </w:tc>
        <w:tc>
          <w:tcPr>
            <w:tcW w:w="2271" w:type="dxa"/>
            <w:tcBorders>
              <w:top w:val="nil"/>
              <w:left w:val="nil"/>
              <w:bottom w:val="single" w:sz="4" w:space="0" w:color="auto"/>
              <w:right w:val="single" w:sz="4" w:space="0" w:color="auto"/>
            </w:tcBorders>
            <w:shd w:val="clear" w:color="auto" w:fill="auto"/>
            <w:noWrap/>
            <w:vAlign w:val="center"/>
            <w:hideMark/>
          </w:tcPr>
          <w:p w:rsidR="00097EEC" w:rsidRPr="00097EEC" w:rsidRDefault="00097EEC" w:rsidP="00097EEC">
            <w:pPr>
              <w:spacing w:after="0" w:line="240" w:lineRule="auto"/>
              <w:jc w:val="center"/>
              <w:rPr>
                <w:rFonts w:ascii="Calibri" w:eastAsia="Times New Roman" w:hAnsi="Calibri" w:cs="Times New Roman"/>
                <w:color w:val="000000"/>
              </w:rPr>
            </w:pPr>
            <w:r w:rsidRPr="00097EEC">
              <w:rPr>
                <w:rFonts w:ascii="Calibri" w:eastAsia="Times New Roman" w:hAnsi="Calibri" w:cs="Times New Roman"/>
                <w:color w:val="000000"/>
              </w:rPr>
              <w:t>170.058.799</w:t>
            </w:r>
          </w:p>
        </w:tc>
        <w:tc>
          <w:tcPr>
            <w:tcW w:w="2271" w:type="dxa"/>
            <w:tcBorders>
              <w:top w:val="nil"/>
              <w:left w:val="nil"/>
              <w:bottom w:val="single" w:sz="4" w:space="0" w:color="auto"/>
              <w:right w:val="single" w:sz="4" w:space="0" w:color="auto"/>
            </w:tcBorders>
            <w:shd w:val="clear" w:color="auto" w:fill="auto"/>
            <w:noWrap/>
            <w:vAlign w:val="center"/>
            <w:hideMark/>
          </w:tcPr>
          <w:p w:rsidR="00097EEC" w:rsidRPr="00097EEC" w:rsidRDefault="00097EEC" w:rsidP="00097EEC">
            <w:pPr>
              <w:spacing w:after="0" w:line="240" w:lineRule="auto"/>
              <w:jc w:val="center"/>
              <w:rPr>
                <w:rFonts w:ascii="Calibri" w:eastAsia="Times New Roman" w:hAnsi="Calibri" w:cs="Times New Roman"/>
                <w:color w:val="000000"/>
              </w:rPr>
            </w:pPr>
            <w:r w:rsidRPr="00097EEC">
              <w:rPr>
                <w:rFonts w:ascii="Calibri" w:eastAsia="Times New Roman" w:hAnsi="Calibri" w:cs="Times New Roman"/>
                <w:color w:val="000000"/>
              </w:rPr>
              <w:t>156.576.590</w:t>
            </w:r>
          </w:p>
        </w:tc>
        <w:tc>
          <w:tcPr>
            <w:tcW w:w="3583" w:type="dxa"/>
            <w:tcBorders>
              <w:top w:val="nil"/>
              <w:left w:val="nil"/>
              <w:bottom w:val="single" w:sz="4" w:space="0" w:color="auto"/>
              <w:right w:val="single" w:sz="4" w:space="0" w:color="auto"/>
            </w:tcBorders>
            <w:shd w:val="clear" w:color="auto" w:fill="auto"/>
            <w:noWrap/>
            <w:vAlign w:val="center"/>
            <w:hideMark/>
          </w:tcPr>
          <w:p w:rsidR="00097EEC" w:rsidRPr="00097EEC" w:rsidRDefault="00097EEC" w:rsidP="00097EEC">
            <w:pPr>
              <w:spacing w:after="0" w:line="240" w:lineRule="auto"/>
              <w:jc w:val="center"/>
              <w:rPr>
                <w:rFonts w:ascii="Calibri" w:eastAsia="Times New Roman" w:hAnsi="Calibri" w:cs="Times New Roman"/>
                <w:color w:val="000000"/>
              </w:rPr>
            </w:pPr>
            <w:r w:rsidRPr="00097EEC">
              <w:rPr>
                <w:rFonts w:ascii="Calibri" w:eastAsia="Times New Roman" w:hAnsi="Calibri" w:cs="Times New Roman"/>
                <w:color w:val="000000"/>
              </w:rPr>
              <w:t>108,61</w:t>
            </w:r>
          </w:p>
        </w:tc>
      </w:tr>
    </w:tbl>
    <w:p w:rsidR="00097EEC" w:rsidRDefault="00097EEC" w:rsidP="00146ED7">
      <w:pPr>
        <w:pStyle w:val="NormalWeb"/>
        <w:jc w:val="both"/>
        <w:rPr>
          <w:color w:val="000000"/>
          <w:bdr w:val="none" w:sz="0" w:space="0" w:color="auto" w:frame="1"/>
        </w:rPr>
      </w:pPr>
      <w:r>
        <w:rPr>
          <w:color w:val="000000"/>
          <w:bdr w:val="none" w:sz="0" w:space="0" w:color="auto" w:frame="1"/>
        </w:rPr>
        <w:tab/>
        <w:t xml:space="preserve">Kütahya'nın İhracatı </w:t>
      </w:r>
      <w:r w:rsidR="00FB2C31">
        <w:rPr>
          <w:color w:val="000000"/>
          <w:bdr w:val="none" w:sz="0" w:space="0" w:color="auto" w:frame="1"/>
        </w:rPr>
        <w:t>$</w:t>
      </w:r>
      <w:r>
        <w:rPr>
          <w:color w:val="000000"/>
          <w:bdr w:val="none" w:sz="0" w:space="0" w:color="auto" w:frame="1"/>
        </w:rPr>
        <w:t xml:space="preserve"> bazında 2011 yılında 153</w:t>
      </w:r>
      <w:r w:rsidR="00EC1E03">
        <w:rPr>
          <w:color w:val="000000"/>
          <w:bdr w:val="none" w:sz="0" w:space="0" w:color="auto" w:frame="1"/>
        </w:rPr>
        <w:t>,7</w:t>
      </w:r>
      <w:r>
        <w:rPr>
          <w:color w:val="000000"/>
          <w:bdr w:val="none" w:sz="0" w:space="0" w:color="auto" w:frame="1"/>
        </w:rPr>
        <w:t xml:space="preserve"> milyon </w:t>
      </w:r>
      <w:r w:rsidR="00FB2C31">
        <w:rPr>
          <w:color w:val="000000"/>
          <w:bdr w:val="none" w:sz="0" w:space="0" w:color="auto" w:frame="1"/>
        </w:rPr>
        <w:t>$</w:t>
      </w:r>
      <w:r>
        <w:rPr>
          <w:color w:val="000000"/>
          <w:bdr w:val="none" w:sz="0" w:space="0" w:color="auto" w:frame="1"/>
        </w:rPr>
        <w:t xml:space="preserve"> seviyesinde iken aradan geçen beş yıl içersinde 170 milyon </w:t>
      </w:r>
      <w:r w:rsidR="00FB2C31">
        <w:rPr>
          <w:color w:val="000000"/>
          <w:bdr w:val="none" w:sz="0" w:space="0" w:color="auto" w:frame="1"/>
        </w:rPr>
        <w:t>$</w:t>
      </w:r>
      <w:r>
        <w:rPr>
          <w:color w:val="000000"/>
          <w:bdr w:val="none" w:sz="0" w:space="0" w:color="auto" w:frame="1"/>
        </w:rPr>
        <w:t xml:space="preserve"> seviyesine yükselmiştir. İthalatın daha az artmasıyla (151 milyon </w:t>
      </w:r>
      <w:r w:rsidR="00FB2C31">
        <w:rPr>
          <w:color w:val="000000"/>
          <w:bdr w:val="none" w:sz="0" w:space="0" w:color="auto" w:frame="1"/>
        </w:rPr>
        <w:t>$'</w:t>
      </w:r>
      <w:r>
        <w:rPr>
          <w:color w:val="000000"/>
          <w:bdr w:val="none" w:sz="0" w:space="0" w:color="auto" w:frame="1"/>
        </w:rPr>
        <w:t xml:space="preserve">dan 156 milyon </w:t>
      </w:r>
      <w:r w:rsidR="00FB2C31">
        <w:rPr>
          <w:color w:val="000000"/>
          <w:bdr w:val="none" w:sz="0" w:space="0" w:color="auto" w:frame="1"/>
        </w:rPr>
        <w:t>$'</w:t>
      </w:r>
      <w:r>
        <w:rPr>
          <w:color w:val="000000"/>
          <w:bdr w:val="none" w:sz="0" w:space="0" w:color="auto" w:frame="1"/>
        </w:rPr>
        <w:t xml:space="preserve">a) ihracatın ithalatı karşılama oranında Kütahya son beş yıl içinde ciddi bir seviye kaydetmiştir (%101,37'den %108,61'e). Özellikle 2013 yılında ihracat 172 milyon </w:t>
      </w:r>
      <w:r w:rsidR="00FB2C31">
        <w:rPr>
          <w:color w:val="000000"/>
          <w:bdr w:val="none" w:sz="0" w:space="0" w:color="auto" w:frame="1"/>
        </w:rPr>
        <w:t>$'</w:t>
      </w:r>
      <w:r>
        <w:rPr>
          <w:color w:val="000000"/>
          <w:bdr w:val="none" w:sz="0" w:space="0" w:color="auto" w:frame="1"/>
        </w:rPr>
        <w:t>a çıkmış ve ihracatın ithalatı karşılama oranı %115,83 olarak gerçekleşmiştir.</w:t>
      </w:r>
    </w:p>
    <w:p w:rsidR="00097EEC" w:rsidRDefault="009F53C8" w:rsidP="00146ED7">
      <w:pPr>
        <w:pStyle w:val="NormalWeb"/>
        <w:jc w:val="both"/>
        <w:rPr>
          <w:color w:val="000000"/>
          <w:bdr w:val="none" w:sz="0" w:space="0" w:color="auto" w:frame="1"/>
        </w:rPr>
      </w:pPr>
      <w:r>
        <w:rPr>
          <w:color w:val="000000"/>
          <w:bdr w:val="none" w:sz="0" w:space="0" w:color="auto" w:frame="1"/>
        </w:rPr>
        <w:tab/>
      </w:r>
      <w:r w:rsidR="003721AB">
        <w:rPr>
          <w:color w:val="000000"/>
          <w:bdr w:val="none" w:sz="0" w:space="0" w:color="auto" w:frame="1"/>
        </w:rPr>
        <w:t xml:space="preserve">Kütahya'nın ihracat yaptığı ülkelere bakıldığında Almanya'nın (14,4 milyon $) üstün olduğu grafikte görülmektedir. 2015 yılı için Almanya bu ihracat rakamıyla Kütahya'nın tüm ihracatının %8,48'ini karşılamaktadır. Her ne kadar ihracat miktarı düşse de ABD ise %6,97'lik payını 2014 ve 2015 yıllarında korumuştur. İngiltere'ye yapılan ihracat ise 2014 yılından 2015 yılına yaklaşık yarı yarıya düştüğü gözlemlenmektedir (12,2 milyon $'dan 6,9 milyon $'a). </w:t>
      </w:r>
    </w:p>
    <w:p w:rsidR="00932D2D" w:rsidRDefault="00932D2D" w:rsidP="00932D2D">
      <w:pPr>
        <w:pStyle w:val="NormalWeb"/>
        <w:jc w:val="both"/>
        <w:rPr>
          <w:color w:val="000000"/>
          <w:bdr w:val="none" w:sz="0" w:space="0" w:color="auto" w:frame="1"/>
        </w:rPr>
      </w:pPr>
      <w:r>
        <w:rPr>
          <w:color w:val="000000"/>
          <w:bdr w:val="none" w:sz="0" w:space="0" w:color="auto" w:frame="1"/>
        </w:rPr>
        <w:lastRenderedPageBreak/>
        <w:tab/>
      </w:r>
      <w:r w:rsidRPr="00566246">
        <w:rPr>
          <w:noProof/>
          <w:color w:val="000000"/>
          <w:bdr w:val="none" w:sz="0" w:space="0" w:color="auto" w:frame="1"/>
        </w:rPr>
        <w:drawing>
          <wp:inline distT="0" distB="0" distL="0" distR="0">
            <wp:extent cx="5764696" cy="3275937"/>
            <wp:effectExtent l="0" t="0" r="26670" b="20320"/>
            <wp:docPr id="5"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32D2D" w:rsidRDefault="00932D2D" w:rsidP="00932D2D">
      <w:pPr>
        <w:pStyle w:val="NormalWeb"/>
        <w:jc w:val="both"/>
        <w:rPr>
          <w:color w:val="000000"/>
          <w:bdr w:val="none" w:sz="0" w:space="0" w:color="auto" w:frame="1"/>
        </w:rPr>
      </w:pPr>
      <w:r>
        <w:rPr>
          <w:color w:val="000000"/>
          <w:bdr w:val="none" w:sz="0" w:space="0" w:color="auto" w:frame="1"/>
        </w:rPr>
        <w:tab/>
        <w:t>2014 ve 2015 yıllarında ihraç edilen ürünlere bakıldığında en çok "Cam ve Cam Ürünleri"</w:t>
      </w:r>
      <w:r w:rsidR="00B760B5">
        <w:rPr>
          <w:color w:val="000000"/>
          <w:bdr w:val="none" w:sz="0" w:space="0" w:color="auto" w:frame="1"/>
        </w:rPr>
        <w:t xml:space="preserve"> ile “</w:t>
      </w:r>
      <w:r w:rsidR="00B760B5" w:rsidRPr="00B760B5">
        <w:rPr>
          <w:color w:val="000000"/>
          <w:bdr w:val="none" w:sz="0" w:space="0" w:color="auto" w:frame="1"/>
        </w:rPr>
        <w:t>Yapı Malzemeleri Dışındaki, Ateşe Dayanıklı Olmayan Seramik Eşya</w:t>
      </w:r>
      <w:r w:rsidR="00B760B5">
        <w:rPr>
          <w:i/>
          <w:color w:val="000000"/>
          <w:u w:val="single"/>
          <w:bdr w:val="none" w:sz="0" w:space="0" w:color="auto" w:frame="1"/>
        </w:rPr>
        <w:t>”</w:t>
      </w:r>
      <w:r>
        <w:rPr>
          <w:color w:val="000000"/>
          <w:bdr w:val="none" w:sz="0" w:space="0" w:color="auto" w:frame="1"/>
        </w:rPr>
        <w:t xml:space="preserve"> ihraç edildiği görülmektedir. </w:t>
      </w:r>
      <w:r w:rsidR="00EF7958">
        <w:rPr>
          <w:color w:val="000000"/>
          <w:bdr w:val="none" w:sz="0" w:space="0" w:color="auto" w:frame="1"/>
        </w:rPr>
        <w:t>Grafikte</w:t>
      </w:r>
      <w:r>
        <w:rPr>
          <w:color w:val="000000"/>
          <w:bdr w:val="none" w:sz="0" w:space="0" w:color="auto" w:frame="1"/>
        </w:rPr>
        <w:t xml:space="preserve"> görülen 2014'ten 2015'e ihracattaki düşüşün önemli bir kısmı (182,8 milyon $'dan 170 milyon $'a), </w:t>
      </w:r>
      <w:r w:rsidR="00B760B5">
        <w:rPr>
          <w:color w:val="000000"/>
          <w:bdr w:val="none" w:sz="0" w:space="0" w:color="auto" w:frame="1"/>
        </w:rPr>
        <w:t xml:space="preserve">"Cam ve Cam Ürünleri" </w:t>
      </w:r>
      <w:r>
        <w:rPr>
          <w:color w:val="000000"/>
          <w:bdr w:val="none" w:sz="0" w:space="0" w:color="auto" w:frame="1"/>
        </w:rPr>
        <w:t xml:space="preserve">grubunda karşımıza çıkmaktadır (20 milyon $). </w:t>
      </w:r>
      <w:r w:rsidR="00B760B5">
        <w:rPr>
          <w:color w:val="000000"/>
          <w:bdr w:val="none" w:sz="0" w:space="0" w:color="auto" w:frame="1"/>
        </w:rPr>
        <w:t xml:space="preserve"> </w:t>
      </w:r>
      <w:r>
        <w:rPr>
          <w:color w:val="000000"/>
          <w:bdr w:val="none" w:sz="0" w:space="0" w:color="auto" w:frame="1"/>
        </w:rPr>
        <w:t>"</w:t>
      </w:r>
      <w:r w:rsidRPr="00932D2D">
        <w:rPr>
          <w:color w:val="000000"/>
          <w:bdr w:val="none" w:sz="0" w:space="0" w:color="auto" w:frame="1"/>
        </w:rPr>
        <w:t>Ateş</w:t>
      </w:r>
      <w:r w:rsidR="00E2502B">
        <w:rPr>
          <w:color w:val="000000"/>
          <w:bdr w:val="none" w:sz="0" w:space="0" w:color="auto" w:frame="1"/>
        </w:rPr>
        <w:t>e Dayanıklı Olmayan, Kil ve</w:t>
      </w:r>
      <w:r w:rsidRPr="00932D2D">
        <w:rPr>
          <w:color w:val="000000"/>
          <w:bdr w:val="none" w:sz="0" w:space="0" w:color="auto" w:frame="1"/>
        </w:rPr>
        <w:t xml:space="preserve"> Seramik Yapı Malzemeleri</w:t>
      </w:r>
      <w:r>
        <w:rPr>
          <w:color w:val="000000"/>
          <w:bdr w:val="none" w:sz="0" w:space="0" w:color="auto" w:frame="1"/>
        </w:rPr>
        <w:t>" ve "</w:t>
      </w:r>
      <w:r w:rsidRPr="00932D2D">
        <w:rPr>
          <w:color w:val="000000"/>
          <w:bdr w:val="none" w:sz="0" w:space="0" w:color="auto" w:frame="1"/>
        </w:rPr>
        <w:t>Demir-Çelik Dışındaki Ana Metal Sanayi</w:t>
      </w:r>
      <w:r>
        <w:rPr>
          <w:color w:val="000000"/>
          <w:bdr w:val="none" w:sz="0" w:space="0" w:color="auto" w:frame="1"/>
        </w:rPr>
        <w:t xml:space="preserve">" </w:t>
      </w:r>
      <w:r w:rsidR="003D5262">
        <w:rPr>
          <w:color w:val="000000"/>
          <w:bdr w:val="none" w:sz="0" w:space="0" w:color="auto" w:frame="1"/>
        </w:rPr>
        <w:t xml:space="preserve"> grupları ise </w:t>
      </w:r>
      <w:r>
        <w:rPr>
          <w:color w:val="000000"/>
          <w:bdr w:val="none" w:sz="0" w:space="0" w:color="auto" w:frame="1"/>
        </w:rPr>
        <w:t>ihracat</w:t>
      </w:r>
      <w:r w:rsidR="003D5262">
        <w:rPr>
          <w:color w:val="000000"/>
          <w:bdr w:val="none" w:sz="0" w:space="0" w:color="auto" w:frame="1"/>
        </w:rPr>
        <w:t>larını</w:t>
      </w:r>
      <w:r>
        <w:rPr>
          <w:color w:val="000000"/>
          <w:bdr w:val="none" w:sz="0" w:space="0" w:color="auto" w:frame="1"/>
        </w:rPr>
        <w:t xml:space="preserve"> arttırmıştır. </w:t>
      </w:r>
    </w:p>
    <w:p w:rsidR="00C44484" w:rsidRDefault="00C44484" w:rsidP="00C44484">
      <w:pPr>
        <w:pStyle w:val="NormalWeb"/>
        <w:ind w:firstLine="708"/>
        <w:jc w:val="both"/>
        <w:rPr>
          <w:color w:val="000000"/>
          <w:bdr w:val="none" w:sz="0" w:space="0" w:color="auto" w:frame="1"/>
        </w:rPr>
      </w:pPr>
      <w:r w:rsidRPr="009B226C">
        <w:rPr>
          <w:i/>
          <w:color w:val="000000"/>
          <w:u w:val="single"/>
          <w:bdr w:val="none" w:sz="0" w:space="0" w:color="auto" w:frame="1"/>
        </w:rPr>
        <w:t>"Cam ve Cam Ürünlerinde"</w:t>
      </w:r>
      <w:r>
        <w:rPr>
          <w:color w:val="000000"/>
          <w:bdr w:val="none" w:sz="0" w:space="0" w:color="auto" w:frame="1"/>
        </w:rPr>
        <w:t xml:space="preserve"> 2015 yılında en fazla ihracat 5,8 milyon $ ile İspanya'ya yapılmıştır. Bu ülkeyi 5,2 milyon $ ile Fransa ve 2,8 milyon $ ile Güney Afrika Cumhuriyeti takip etmiştir.</w:t>
      </w:r>
    </w:p>
    <w:p w:rsidR="00C44484" w:rsidRDefault="00C44484" w:rsidP="00C44484">
      <w:pPr>
        <w:pStyle w:val="NormalWeb"/>
        <w:jc w:val="both"/>
        <w:rPr>
          <w:color w:val="000000"/>
          <w:bdr w:val="none" w:sz="0" w:space="0" w:color="auto" w:frame="1"/>
        </w:rPr>
      </w:pPr>
      <w:r>
        <w:rPr>
          <w:color w:val="000000"/>
          <w:bdr w:val="none" w:sz="0" w:space="0" w:color="auto" w:frame="1"/>
        </w:rPr>
        <w:tab/>
        <w:t xml:space="preserve">2015 yılında </w:t>
      </w:r>
      <w:proofErr w:type="gramStart"/>
      <w:r>
        <w:rPr>
          <w:color w:val="000000"/>
          <w:bdr w:val="none" w:sz="0" w:space="0" w:color="auto" w:frame="1"/>
        </w:rPr>
        <w:t>(</w:t>
      </w:r>
      <w:proofErr w:type="gramEnd"/>
      <w:r w:rsidRPr="00F02081">
        <w:rPr>
          <w:color w:val="000000"/>
          <w:bdr w:val="none" w:sz="0" w:space="0" w:color="auto" w:frame="1"/>
        </w:rPr>
        <w:t>Yapı malzemeleri dışındaki, ateşe dayanıklı olmayan seramik eşya imalatı</w:t>
      </w:r>
      <w:r>
        <w:rPr>
          <w:color w:val="000000"/>
          <w:bdr w:val="none" w:sz="0" w:space="0" w:color="auto" w:frame="1"/>
        </w:rPr>
        <w:t>nı</w:t>
      </w:r>
      <w:r w:rsidRPr="00F02081">
        <w:rPr>
          <w:color w:val="000000"/>
          <w:bdr w:val="none" w:sz="0" w:space="0" w:color="auto" w:frame="1"/>
        </w:rPr>
        <w:t xml:space="preserve"> (çanak, çömlek, çini, porselen </w:t>
      </w:r>
      <w:proofErr w:type="spellStart"/>
      <w:r w:rsidRPr="00F02081">
        <w:rPr>
          <w:color w:val="000000"/>
          <w:bdr w:val="none" w:sz="0" w:space="0" w:color="auto" w:frame="1"/>
        </w:rPr>
        <w:t>v.b</w:t>
      </w:r>
      <w:proofErr w:type="spellEnd"/>
      <w:r w:rsidRPr="00F02081">
        <w:rPr>
          <w:color w:val="000000"/>
          <w:bdr w:val="none" w:sz="0" w:space="0" w:color="auto" w:frame="1"/>
        </w:rPr>
        <w:t>.)</w:t>
      </w:r>
      <w:r>
        <w:rPr>
          <w:color w:val="000000"/>
          <w:bdr w:val="none" w:sz="0" w:space="0" w:color="auto" w:frame="1"/>
        </w:rPr>
        <w:t xml:space="preserve"> kapsayan </w:t>
      </w:r>
      <w:r w:rsidRPr="009B226C">
        <w:rPr>
          <w:i/>
          <w:color w:val="000000"/>
          <w:u w:val="single"/>
          <w:bdr w:val="none" w:sz="0" w:space="0" w:color="auto" w:frame="1"/>
        </w:rPr>
        <w:t xml:space="preserve">"Yapı Malzemeleri Dışındaki, Ateşe </w:t>
      </w:r>
      <w:r>
        <w:rPr>
          <w:i/>
          <w:color w:val="000000"/>
          <w:u w:val="single"/>
          <w:bdr w:val="none" w:sz="0" w:space="0" w:color="auto" w:frame="1"/>
        </w:rPr>
        <w:t xml:space="preserve">Dayanıklı Olmayan Seramik Eşya" </w:t>
      </w:r>
      <w:r w:rsidRPr="00F02081">
        <w:rPr>
          <w:color w:val="000000"/>
          <w:bdr w:val="none" w:sz="0" w:space="0" w:color="auto" w:frame="1"/>
        </w:rPr>
        <w:t>ürün grubu</w:t>
      </w:r>
      <w:r>
        <w:rPr>
          <w:color w:val="000000"/>
          <w:bdr w:val="none" w:sz="0" w:space="0" w:color="auto" w:frame="1"/>
        </w:rPr>
        <w:t>nun</w:t>
      </w:r>
      <w:r>
        <w:rPr>
          <w:i/>
          <w:color w:val="000000"/>
          <w:bdr w:val="none" w:sz="0" w:space="0" w:color="auto" w:frame="1"/>
        </w:rPr>
        <w:t xml:space="preserve"> </w:t>
      </w:r>
      <w:r>
        <w:rPr>
          <w:color w:val="000000"/>
          <w:bdr w:val="none" w:sz="0" w:space="0" w:color="auto" w:frame="1"/>
        </w:rPr>
        <w:t xml:space="preserve">ihracatı %17,34'ü </w:t>
      </w:r>
      <w:r w:rsidRPr="00D95E42">
        <w:rPr>
          <w:color w:val="000000"/>
          <w:bdr w:val="none" w:sz="0" w:space="0" w:color="auto" w:frame="1"/>
        </w:rPr>
        <w:t>8,6 milyon $ ile Almanya'ya yapılmıştır.</w:t>
      </w:r>
      <w:r>
        <w:rPr>
          <w:color w:val="000000"/>
          <w:bdr w:val="none" w:sz="0" w:space="0" w:color="auto" w:frame="1"/>
        </w:rPr>
        <w:t xml:space="preserve"> Bu ürün grubunda ihracatın %8,95'i İtalya'ya (4,44 milyon $), %8,87'si İsveç'e (4,4 milyon $) gerçekleştirilmiştir.</w:t>
      </w:r>
    </w:p>
    <w:p w:rsidR="00C44484" w:rsidRDefault="00C44484" w:rsidP="00C44484">
      <w:pPr>
        <w:pStyle w:val="NormalWeb"/>
        <w:jc w:val="both"/>
        <w:rPr>
          <w:color w:val="000000"/>
          <w:bdr w:val="none" w:sz="0" w:space="0" w:color="auto" w:frame="1"/>
        </w:rPr>
      </w:pPr>
      <w:r>
        <w:rPr>
          <w:color w:val="000000"/>
          <w:bdr w:val="none" w:sz="0" w:space="0" w:color="auto" w:frame="1"/>
        </w:rPr>
        <w:tab/>
      </w:r>
      <w:proofErr w:type="gramStart"/>
      <w:r>
        <w:rPr>
          <w:color w:val="000000"/>
          <w:bdr w:val="none" w:sz="0" w:space="0" w:color="auto" w:frame="1"/>
        </w:rPr>
        <w:t>2014 yılından 2015 yılına %37'lik ihracat artışı gösteren (</w:t>
      </w:r>
      <w:r w:rsidRPr="00E2502B">
        <w:rPr>
          <w:color w:val="000000"/>
          <w:bdr w:val="none" w:sz="0" w:space="0" w:color="auto" w:frame="1"/>
        </w:rPr>
        <w:t xml:space="preserve">Seramik kiremit ve kaldırım taşı imalatı </w:t>
      </w:r>
      <w:r>
        <w:rPr>
          <w:color w:val="000000"/>
          <w:bdr w:val="none" w:sz="0" w:space="0" w:color="auto" w:frame="1"/>
        </w:rPr>
        <w:t xml:space="preserve">ile </w:t>
      </w:r>
      <w:r w:rsidRPr="00E2502B">
        <w:rPr>
          <w:color w:val="000000"/>
          <w:bdr w:val="none" w:sz="0" w:space="0" w:color="auto" w:frame="1"/>
        </w:rPr>
        <w:t>Fırınlanmış kilden kiremit, briket, tuğla ve inşaat malzemeleri imalatı</w:t>
      </w:r>
      <w:r>
        <w:rPr>
          <w:color w:val="000000"/>
          <w:bdr w:val="none" w:sz="0" w:space="0" w:color="auto" w:frame="1"/>
        </w:rPr>
        <w:t>nı kapsayan)</w:t>
      </w:r>
      <w:r w:rsidRPr="00E2502B">
        <w:rPr>
          <w:color w:val="000000"/>
          <w:bdr w:val="none" w:sz="0" w:space="0" w:color="auto" w:frame="1"/>
        </w:rPr>
        <w:t xml:space="preserve"> </w:t>
      </w:r>
      <w:r w:rsidRPr="009B226C">
        <w:rPr>
          <w:i/>
          <w:color w:val="000000"/>
          <w:u w:val="single"/>
          <w:bdr w:val="none" w:sz="0" w:space="0" w:color="auto" w:frame="1"/>
        </w:rPr>
        <w:t>"Ateşe Dayanıklı Olmayan, Kil Ve Seramik Yapı Malzemeleri"</w:t>
      </w:r>
      <w:r>
        <w:rPr>
          <w:color w:val="000000"/>
          <w:bdr w:val="none" w:sz="0" w:space="0" w:color="auto" w:frame="1"/>
        </w:rPr>
        <w:t xml:space="preserve"> ürün grubunda en çok ihracat yapılan üç ülke sırasıyla; İsrail (2,7 milyon $), Almanya (1,8 milyon $) ve Kuveyt (0,8 milyon $) olmuştur.</w:t>
      </w:r>
      <w:proofErr w:type="gramEnd"/>
    </w:p>
    <w:p w:rsidR="000E0E0A" w:rsidRDefault="00932D2D" w:rsidP="00C44484">
      <w:pPr>
        <w:pStyle w:val="NormalWeb"/>
        <w:jc w:val="both"/>
        <w:rPr>
          <w:color w:val="000000"/>
          <w:bdr w:val="none" w:sz="0" w:space="0" w:color="auto" w:frame="1"/>
        </w:rPr>
      </w:pPr>
      <w:r w:rsidRPr="00932D2D">
        <w:rPr>
          <w:noProof/>
          <w:color w:val="000000"/>
          <w:bdr w:val="none" w:sz="0" w:space="0" w:color="auto" w:frame="1"/>
        </w:rPr>
        <w:lastRenderedPageBreak/>
        <w:drawing>
          <wp:anchor distT="0" distB="0" distL="114300" distR="114300" simplePos="0" relativeHeight="251658240" behindDoc="0" locked="0" layoutInCell="1" allowOverlap="1">
            <wp:simplePos x="0" y="0"/>
            <wp:positionH relativeFrom="column">
              <wp:posOffset>-1905</wp:posOffset>
            </wp:positionH>
            <wp:positionV relativeFrom="paragraph">
              <wp:posOffset>-1905</wp:posOffset>
            </wp:positionV>
            <wp:extent cx="5843905" cy="4897755"/>
            <wp:effectExtent l="0" t="0" r="23495" b="17145"/>
            <wp:wrapSquare wrapText="bothSides"/>
            <wp:docPr id="7"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Pr>
          <w:color w:val="000000"/>
          <w:bdr w:val="none" w:sz="0" w:space="0" w:color="auto" w:frame="1"/>
        </w:rPr>
        <w:tab/>
      </w:r>
    </w:p>
    <w:p w:rsidR="000E0E0A" w:rsidRDefault="000E0E0A" w:rsidP="00146ED7">
      <w:pPr>
        <w:pStyle w:val="NormalWeb"/>
        <w:jc w:val="both"/>
        <w:rPr>
          <w:color w:val="000000"/>
          <w:bdr w:val="none" w:sz="0" w:space="0" w:color="auto" w:frame="1"/>
        </w:rPr>
      </w:pPr>
      <w:r>
        <w:rPr>
          <w:color w:val="000000"/>
          <w:bdr w:val="none" w:sz="0" w:space="0" w:color="auto" w:frame="1"/>
        </w:rPr>
        <w:tab/>
        <w:t>Kütahya'nın 2014ve 2015 yılları arası karşılaştırmada ihracatını %77</w:t>
      </w:r>
      <w:r w:rsidR="009B226C">
        <w:rPr>
          <w:color w:val="000000"/>
          <w:bdr w:val="none" w:sz="0" w:space="0" w:color="auto" w:frame="1"/>
        </w:rPr>
        <w:t xml:space="preserve"> </w:t>
      </w:r>
      <w:r>
        <w:rPr>
          <w:color w:val="000000"/>
          <w:bdr w:val="none" w:sz="0" w:space="0" w:color="auto" w:frame="1"/>
        </w:rPr>
        <w:t xml:space="preserve">ile en fazla arttıran ürün grubu </w:t>
      </w:r>
      <w:r w:rsidR="009B226C" w:rsidRPr="009B226C">
        <w:rPr>
          <w:i/>
          <w:color w:val="000000"/>
          <w:u w:val="single"/>
          <w:bdr w:val="none" w:sz="0" w:space="0" w:color="auto" w:frame="1"/>
        </w:rPr>
        <w:t>"</w:t>
      </w:r>
      <w:r w:rsidRPr="009B226C">
        <w:rPr>
          <w:i/>
          <w:color w:val="000000"/>
          <w:u w:val="single"/>
          <w:bdr w:val="none" w:sz="0" w:space="0" w:color="auto" w:frame="1"/>
        </w:rPr>
        <w:t>Demir</w:t>
      </w:r>
      <w:r w:rsidR="009B226C" w:rsidRPr="009B226C">
        <w:rPr>
          <w:i/>
          <w:color w:val="000000"/>
          <w:u w:val="single"/>
          <w:bdr w:val="none" w:sz="0" w:space="0" w:color="auto" w:frame="1"/>
        </w:rPr>
        <w:t>-Çelik Dışındaki Ana Metal Sanayi"</w:t>
      </w:r>
      <w:r>
        <w:rPr>
          <w:color w:val="000000"/>
          <w:bdr w:val="none" w:sz="0" w:space="0" w:color="auto" w:frame="1"/>
        </w:rPr>
        <w:t>dir. Bu ürün grubun ihracatında en önemli paya sahip ülke 5,9 milyon $</w:t>
      </w:r>
      <w:r w:rsidR="009B226C">
        <w:rPr>
          <w:color w:val="000000"/>
          <w:bdr w:val="none" w:sz="0" w:space="0" w:color="auto" w:frame="1"/>
        </w:rPr>
        <w:t xml:space="preserve"> </w:t>
      </w:r>
      <w:r>
        <w:rPr>
          <w:color w:val="000000"/>
          <w:bdr w:val="none" w:sz="0" w:space="0" w:color="auto" w:frame="1"/>
        </w:rPr>
        <w:t>ve %</w:t>
      </w:r>
      <w:r w:rsidR="009B226C">
        <w:rPr>
          <w:color w:val="000000"/>
          <w:bdr w:val="none" w:sz="0" w:space="0" w:color="auto" w:frame="1"/>
        </w:rPr>
        <w:t>46,13</w:t>
      </w:r>
      <w:r>
        <w:rPr>
          <w:color w:val="000000"/>
          <w:bdr w:val="none" w:sz="0" w:space="0" w:color="auto" w:frame="1"/>
        </w:rPr>
        <w:t>'l</w:t>
      </w:r>
      <w:r w:rsidR="009B226C">
        <w:rPr>
          <w:color w:val="000000"/>
          <w:bdr w:val="none" w:sz="0" w:space="0" w:color="auto" w:frame="1"/>
        </w:rPr>
        <w:t>ü</w:t>
      </w:r>
      <w:r>
        <w:rPr>
          <w:color w:val="000000"/>
          <w:bdr w:val="none" w:sz="0" w:space="0" w:color="auto" w:frame="1"/>
        </w:rPr>
        <w:t>k pay ile</w:t>
      </w:r>
      <w:r w:rsidR="009B226C">
        <w:rPr>
          <w:color w:val="000000"/>
          <w:bdr w:val="none" w:sz="0" w:space="0" w:color="auto" w:frame="1"/>
        </w:rPr>
        <w:t xml:space="preserve"> yaklaşık yarısı</w:t>
      </w:r>
      <w:r w:rsidR="00B760B5">
        <w:rPr>
          <w:color w:val="000000"/>
          <w:bdr w:val="none" w:sz="0" w:space="0" w:color="auto" w:frame="1"/>
        </w:rPr>
        <w:t>yla</w:t>
      </w:r>
      <w:r w:rsidR="00B576AB">
        <w:rPr>
          <w:color w:val="000000"/>
          <w:bdr w:val="none" w:sz="0" w:space="0" w:color="auto" w:frame="1"/>
        </w:rPr>
        <w:t xml:space="preserve"> İsviçre’dir</w:t>
      </w:r>
      <w:r>
        <w:rPr>
          <w:color w:val="000000"/>
          <w:bdr w:val="none" w:sz="0" w:space="0" w:color="auto" w:frame="1"/>
        </w:rPr>
        <w:t>. Slovakya</w:t>
      </w:r>
      <w:r w:rsidR="009B226C">
        <w:rPr>
          <w:color w:val="000000"/>
          <w:bdr w:val="none" w:sz="0" w:space="0" w:color="auto" w:frame="1"/>
        </w:rPr>
        <w:t xml:space="preserve">'ya 2015 yılında </w:t>
      </w:r>
      <w:r>
        <w:rPr>
          <w:color w:val="000000"/>
          <w:bdr w:val="none" w:sz="0" w:space="0" w:color="auto" w:frame="1"/>
        </w:rPr>
        <w:t>2 milyon $</w:t>
      </w:r>
      <w:r w:rsidR="009B226C">
        <w:rPr>
          <w:color w:val="000000"/>
          <w:bdr w:val="none" w:sz="0" w:space="0" w:color="auto" w:frame="1"/>
        </w:rPr>
        <w:t xml:space="preserve"> ihracat yapılmıştır. İtalya ise bu ürün grubunda 1,5 milyon $ ile üçüncü olmuştur.</w:t>
      </w:r>
    </w:p>
    <w:p w:rsidR="009B226C" w:rsidRDefault="009B226C" w:rsidP="00146ED7">
      <w:pPr>
        <w:pStyle w:val="NormalWeb"/>
        <w:jc w:val="both"/>
        <w:rPr>
          <w:color w:val="000000"/>
          <w:bdr w:val="none" w:sz="0" w:space="0" w:color="auto" w:frame="1"/>
        </w:rPr>
      </w:pPr>
      <w:r>
        <w:rPr>
          <w:color w:val="000000"/>
          <w:bdr w:val="none" w:sz="0" w:space="0" w:color="auto" w:frame="1"/>
        </w:rPr>
        <w:tab/>
      </w:r>
      <w:r w:rsidRPr="009B226C">
        <w:rPr>
          <w:i/>
          <w:color w:val="000000"/>
          <w:u w:val="single"/>
          <w:bdr w:val="none" w:sz="0" w:space="0" w:color="auto" w:frame="1"/>
        </w:rPr>
        <w:t>"Taş"</w:t>
      </w:r>
      <w:r>
        <w:rPr>
          <w:color w:val="000000"/>
          <w:bdr w:val="none" w:sz="0" w:space="0" w:color="auto" w:frame="1"/>
        </w:rPr>
        <w:t xml:space="preserve"> ürün grubunda yapılan ihracatın önemli bir kısmı (%72,78) ABD'ye gerçekleştirilmiştir (7,5 milyon </w:t>
      </w:r>
      <w:bookmarkStart w:id="0" w:name="_GoBack"/>
      <w:bookmarkEnd w:id="0"/>
      <w:r>
        <w:rPr>
          <w:color w:val="000000"/>
          <w:bdr w:val="none" w:sz="0" w:space="0" w:color="auto" w:frame="1"/>
        </w:rPr>
        <w:t>$). İngiltere (0,9 milyon $) ve Kanada (0,6</w:t>
      </w:r>
      <w:r w:rsidRPr="009B226C">
        <w:rPr>
          <w:color w:val="000000"/>
          <w:bdr w:val="none" w:sz="0" w:space="0" w:color="auto" w:frame="1"/>
        </w:rPr>
        <w:t xml:space="preserve"> </w:t>
      </w:r>
      <w:r>
        <w:rPr>
          <w:color w:val="000000"/>
          <w:bdr w:val="none" w:sz="0" w:space="0" w:color="auto" w:frame="1"/>
        </w:rPr>
        <w:t>milyon $) ABD'yi takip eden diğer ülkeler olmuştur.</w:t>
      </w:r>
    </w:p>
    <w:p w:rsidR="004B4E88" w:rsidRDefault="004B4E88" w:rsidP="00DB5FB8">
      <w:pPr>
        <w:pStyle w:val="NormalWeb"/>
        <w:rPr>
          <w:color w:val="000000"/>
          <w:bdr w:val="none" w:sz="0" w:space="0" w:color="auto" w:frame="1"/>
        </w:rPr>
      </w:pPr>
      <w:r>
        <w:rPr>
          <w:color w:val="000000"/>
          <w:bdr w:val="none" w:sz="0" w:space="0" w:color="auto" w:frame="1"/>
        </w:rPr>
        <w:t>ÖYKÜ TOPRAK UYSAL</w:t>
      </w:r>
    </w:p>
    <w:p w:rsidR="004B4E88" w:rsidRDefault="004B4E88" w:rsidP="00DB5FB8">
      <w:pPr>
        <w:pStyle w:val="NormalWeb"/>
        <w:rPr>
          <w:color w:val="000000"/>
          <w:bdr w:val="none" w:sz="0" w:space="0" w:color="auto" w:frame="1"/>
        </w:rPr>
      </w:pPr>
      <w:r>
        <w:rPr>
          <w:color w:val="000000"/>
          <w:bdr w:val="none" w:sz="0" w:space="0" w:color="auto" w:frame="1"/>
        </w:rPr>
        <w:t>TÜİK UZMANI</w:t>
      </w:r>
    </w:p>
    <w:sectPr w:rsidR="004B4E88" w:rsidSect="009450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F3542"/>
    <w:multiLevelType w:val="hybridMultilevel"/>
    <w:tmpl w:val="B2F881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71513CF"/>
    <w:multiLevelType w:val="hybridMultilevel"/>
    <w:tmpl w:val="2F0437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5A36FEF"/>
    <w:multiLevelType w:val="hybridMultilevel"/>
    <w:tmpl w:val="DE2A9F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F455F0C"/>
    <w:multiLevelType w:val="hybridMultilevel"/>
    <w:tmpl w:val="4F20FF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6FB3C03"/>
    <w:multiLevelType w:val="hybridMultilevel"/>
    <w:tmpl w:val="8F02DBEC"/>
    <w:lvl w:ilvl="0" w:tplc="041F000F">
      <w:start w:val="1"/>
      <w:numFmt w:val="decimal"/>
      <w:lvlText w:val="%1."/>
      <w:lvlJc w:val="left"/>
      <w:pPr>
        <w:ind w:left="720" w:hanging="360"/>
      </w:pPr>
    </w:lvl>
    <w:lvl w:ilvl="1" w:tplc="7C3CA33C">
      <w:numFmt w:val="bullet"/>
      <w:lvlText w:val="-"/>
      <w:lvlJc w:val="left"/>
      <w:pPr>
        <w:ind w:left="1440" w:hanging="360"/>
      </w:pPr>
      <w:rPr>
        <w:rFonts w:ascii="Times New Roman" w:eastAsiaTheme="minorEastAsia"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B997148"/>
    <w:multiLevelType w:val="hybridMultilevel"/>
    <w:tmpl w:val="5E405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F111478"/>
    <w:multiLevelType w:val="hybridMultilevel"/>
    <w:tmpl w:val="D206C190"/>
    <w:lvl w:ilvl="0" w:tplc="C15EEFB6">
      <w:numFmt w:val="bullet"/>
      <w:lvlText w:val="-"/>
      <w:lvlJc w:val="left"/>
      <w:pPr>
        <w:ind w:left="480" w:hanging="360"/>
      </w:pPr>
      <w:rPr>
        <w:rFonts w:ascii="Arial" w:eastAsia="Times New Roman" w:hAnsi="Arial" w:cs="Arial" w:hint="default"/>
        <w:sz w:val="20"/>
      </w:rPr>
    </w:lvl>
    <w:lvl w:ilvl="1" w:tplc="041F0003" w:tentative="1">
      <w:start w:val="1"/>
      <w:numFmt w:val="bullet"/>
      <w:lvlText w:val="o"/>
      <w:lvlJc w:val="left"/>
      <w:pPr>
        <w:ind w:left="1200" w:hanging="360"/>
      </w:pPr>
      <w:rPr>
        <w:rFonts w:ascii="Courier New" w:hAnsi="Courier New" w:cs="Courier New" w:hint="default"/>
      </w:rPr>
    </w:lvl>
    <w:lvl w:ilvl="2" w:tplc="041F0005" w:tentative="1">
      <w:start w:val="1"/>
      <w:numFmt w:val="bullet"/>
      <w:lvlText w:val=""/>
      <w:lvlJc w:val="left"/>
      <w:pPr>
        <w:ind w:left="1920" w:hanging="360"/>
      </w:pPr>
      <w:rPr>
        <w:rFonts w:ascii="Wingdings" w:hAnsi="Wingdings" w:hint="default"/>
      </w:rPr>
    </w:lvl>
    <w:lvl w:ilvl="3" w:tplc="041F0001" w:tentative="1">
      <w:start w:val="1"/>
      <w:numFmt w:val="bullet"/>
      <w:lvlText w:val=""/>
      <w:lvlJc w:val="left"/>
      <w:pPr>
        <w:ind w:left="2640" w:hanging="360"/>
      </w:pPr>
      <w:rPr>
        <w:rFonts w:ascii="Symbol" w:hAnsi="Symbol" w:hint="default"/>
      </w:rPr>
    </w:lvl>
    <w:lvl w:ilvl="4" w:tplc="041F0003" w:tentative="1">
      <w:start w:val="1"/>
      <w:numFmt w:val="bullet"/>
      <w:lvlText w:val="o"/>
      <w:lvlJc w:val="left"/>
      <w:pPr>
        <w:ind w:left="3360" w:hanging="360"/>
      </w:pPr>
      <w:rPr>
        <w:rFonts w:ascii="Courier New" w:hAnsi="Courier New" w:cs="Courier New" w:hint="default"/>
      </w:rPr>
    </w:lvl>
    <w:lvl w:ilvl="5" w:tplc="041F0005" w:tentative="1">
      <w:start w:val="1"/>
      <w:numFmt w:val="bullet"/>
      <w:lvlText w:val=""/>
      <w:lvlJc w:val="left"/>
      <w:pPr>
        <w:ind w:left="4080" w:hanging="360"/>
      </w:pPr>
      <w:rPr>
        <w:rFonts w:ascii="Wingdings" w:hAnsi="Wingdings" w:hint="default"/>
      </w:rPr>
    </w:lvl>
    <w:lvl w:ilvl="6" w:tplc="041F0001" w:tentative="1">
      <w:start w:val="1"/>
      <w:numFmt w:val="bullet"/>
      <w:lvlText w:val=""/>
      <w:lvlJc w:val="left"/>
      <w:pPr>
        <w:ind w:left="4800" w:hanging="360"/>
      </w:pPr>
      <w:rPr>
        <w:rFonts w:ascii="Symbol" w:hAnsi="Symbol" w:hint="default"/>
      </w:rPr>
    </w:lvl>
    <w:lvl w:ilvl="7" w:tplc="041F0003" w:tentative="1">
      <w:start w:val="1"/>
      <w:numFmt w:val="bullet"/>
      <w:lvlText w:val="o"/>
      <w:lvlJc w:val="left"/>
      <w:pPr>
        <w:ind w:left="5520" w:hanging="360"/>
      </w:pPr>
      <w:rPr>
        <w:rFonts w:ascii="Courier New" w:hAnsi="Courier New" w:cs="Courier New" w:hint="default"/>
      </w:rPr>
    </w:lvl>
    <w:lvl w:ilvl="8" w:tplc="041F0005" w:tentative="1">
      <w:start w:val="1"/>
      <w:numFmt w:val="bullet"/>
      <w:lvlText w:val=""/>
      <w:lvlJc w:val="left"/>
      <w:pPr>
        <w:ind w:left="624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88"/>
    <w:rsid w:val="00097D3D"/>
    <w:rsid w:val="00097EEC"/>
    <w:rsid w:val="000A03CC"/>
    <w:rsid w:val="000E0E0A"/>
    <w:rsid w:val="0011078A"/>
    <w:rsid w:val="00146ED7"/>
    <w:rsid w:val="00163E73"/>
    <w:rsid w:val="001A69DD"/>
    <w:rsid w:val="001B1EB9"/>
    <w:rsid w:val="002628A0"/>
    <w:rsid w:val="003721AB"/>
    <w:rsid w:val="003A2567"/>
    <w:rsid w:val="003D5262"/>
    <w:rsid w:val="00400D77"/>
    <w:rsid w:val="004B4E88"/>
    <w:rsid w:val="00512DB2"/>
    <w:rsid w:val="00546869"/>
    <w:rsid w:val="00566246"/>
    <w:rsid w:val="005674CE"/>
    <w:rsid w:val="006B6D98"/>
    <w:rsid w:val="00777280"/>
    <w:rsid w:val="00824429"/>
    <w:rsid w:val="008B15B9"/>
    <w:rsid w:val="008D3AFC"/>
    <w:rsid w:val="008E1699"/>
    <w:rsid w:val="00932D2D"/>
    <w:rsid w:val="009450EB"/>
    <w:rsid w:val="00961BF2"/>
    <w:rsid w:val="009A0955"/>
    <w:rsid w:val="009B226C"/>
    <w:rsid w:val="009F53C8"/>
    <w:rsid w:val="009F6188"/>
    <w:rsid w:val="00A011F9"/>
    <w:rsid w:val="00B576AB"/>
    <w:rsid w:val="00B760B5"/>
    <w:rsid w:val="00B963F8"/>
    <w:rsid w:val="00C005B3"/>
    <w:rsid w:val="00C44484"/>
    <w:rsid w:val="00CC21D9"/>
    <w:rsid w:val="00D95E42"/>
    <w:rsid w:val="00DB117B"/>
    <w:rsid w:val="00DB1AAB"/>
    <w:rsid w:val="00DB5FB8"/>
    <w:rsid w:val="00E2502B"/>
    <w:rsid w:val="00E31E70"/>
    <w:rsid w:val="00E96F79"/>
    <w:rsid w:val="00EC1E03"/>
    <w:rsid w:val="00EF7958"/>
    <w:rsid w:val="00F02081"/>
    <w:rsid w:val="00FB2C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9F61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F6188"/>
    <w:rPr>
      <w:rFonts w:ascii="Times New Roman" w:eastAsia="Times New Roman" w:hAnsi="Times New Roman" w:cs="Times New Roman"/>
      <w:b/>
      <w:bCs/>
      <w:sz w:val="27"/>
      <w:szCs w:val="27"/>
    </w:rPr>
  </w:style>
  <w:style w:type="paragraph" w:styleId="NormalWeb">
    <w:name w:val="Normal (Web)"/>
    <w:basedOn w:val="Normal"/>
    <w:uiPriority w:val="99"/>
    <w:unhideWhenUsed/>
    <w:rsid w:val="009F618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9F6188"/>
    <w:rPr>
      <w:b/>
      <w:bCs/>
    </w:rPr>
  </w:style>
  <w:style w:type="character" w:customStyle="1" w:styleId="apple-converted-space">
    <w:name w:val="apple-converted-space"/>
    <w:basedOn w:val="VarsaylanParagrafYazTipi"/>
    <w:rsid w:val="009F6188"/>
  </w:style>
  <w:style w:type="character" w:styleId="Kpr">
    <w:name w:val="Hyperlink"/>
    <w:basedOn w:val="VarsaylanParagrafYazTipi"/>
    <w:uiPriority w:val="99"/>
    <w:semiHidden/>
    <w:unhideWhenUsed/>
    <w:rsid w:val="009F6188"/>
    <w:rPr>
      <w:color w:val="0000FF"/>
      <w:u w:val="single"/>
    </w:rPr>
  </w:style>
  <w:style w:type="paragraph" w:styleId="ListeParagraf">
    <w:name w:val="List Paragraph"/>
    <w:basedOn w:val="Normal"/>
    <w:uiPriority w:val="34"/>
    <w:qFormat/>
    <w:rsid w:val="009F6188"/>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FB2C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2C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9F61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F6188"/>
    <w:rPr>
      <w:rFonts w:ascii="Times New Roman" w:eastAsia="Times New Roman" w:hAnsi="Times New Roman" w:cs="Times New Roman"/>
      <w:b/>
      <w:bCs/>
      <w:sz w:val="27"/>
      <w:szCs w:val="27"/>
    </w:rPr>
  </w:style>
  <w:style w:type="paragraph" w:styleId="NormalWeb">
    <w:name w:val="Normal (Web)"/>
    <w:basedOn w:val="Normal"/>
    <w:uiPriority w:val="99"/>
    <w:unhideWhenUsed/>
    <w:rsid w:val="009F618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9F6188"/>
    <w:rPr>
      <w:b/>
      <w:bCs/>
    </w:rPr>
  </w:style>
  <w:style w:type="character" w:customStyle="1" w:styleId="apple-converted-space">
    <w:name w:val="apple-converted-space"/>
    <w:basedOn w:val="VarsaylanParagrafYazTipi"/>
    <w:rsid w:val="009F6188"/>
  </w:style>
  <w:style w:type="character" w:styleId="Kpr">
    <w:name w:val="Hyperlink"/>
    <w:basedOn w:val="VarsaylanParagrafYazTipi"/>
    <w:uiPriority w:val="99"/>
    <w:semiHidden/>
    <w:unhideWhenUsed/>
    <w:rsid w:val="009F6188"/>
    <w:rPr>
      <w:color w:val="0000FF"/>
      <w:u w:val="single"/>
    </w:rPr>
  </w:style>
  <w:style w:type="paragraph" w:styleId="ListeParagraf">
    <w:name w:val="List Paragraph"/>
    <w:basedOn w:val="Normal"/>
    <w:uiPriority w:val="34"/>
    <w:qFormat/>
    <w:rsid w:val="009F6188"/>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FB2C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2C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9005">
      <w:bodyDiv w:val="1"/>
      <w:marLeft w:val="0"/>
      <w:marRight w:val="0"/>
      <w:marTop w:val="0"/>
      <w:marBottom w:val="0"/>
      <w:divBdr>
        <w:top w:val="none" w:sz="0" w:space="0" w:color="auto"/>
        <w:left w:val="none" w:sz="0" w:space="0" w:color="auto"/>
        <w:bottom w:val="none" w:sz="0" w:space="0" w:color="auto"/>
        <w:right w:val="none" w:sz="0" w:space="0" w:color="auto"/>
      </w:divBdr>
    </w:div>
    <w:div w:id="43137114">
      <w:bodyDiv w:val="1"/>
      <w:marLeft w:val="0"/>
      <w:marRight w:val="0"/>
      <w:marTop w:val="0"/>
      <w:marBottom w:val="0"/>
      <w:divBdr>
        <w:top w:val="none" w:sz="0" w:space="0" w:color="auto"/>
        <w:left w:val="none" w:sz="0" w:space="0" w:color="auto"/>
        <w:bottom w:val="none" w:sz="0" w:space="0" w:color="auto"/>
        <w:right w:val="none" w:sz="0" w:space="0" w:color="auto"/>
      </w:divBdr>
    </w:div>
    <w:div w:id="209466109">
      <w:bodyDiv w:val="1"/>
      <w:marLeft w:val="0"/>
      <w:marRight w:val="0"/>
      <w:marTop w:val="0"/>
      <w:marBottom w:val="0"/>
      <w:divBdr>
        <w:top w:val="none" w:sz="0" w:space="0" w:color="auto"/>
        <w:left w:val="none" w:sz="0" w:space="0" w:color="auto"/>
        <w:bottom w:val="none" w:sz="0" w:space="0" w:color="auto"/>
        <w:right w:val="none" w:sz="0" w:space="0" w:color="auto"/>
      </w:divBdr>
    </w:div>
    <w:div w:id="501042914">
      <w:bodyDiv w:val="1"/>
      <w:marLeft w:val="0"/>
      <w:marRight w:val="0"/>
      <w:marTop w:val="0"/>
      <w:marBottom w:val="0"/>
      <w:divBdr>
        <w:top w:val="none" w:sz="0" w:space="0" w:color="auto"/>
        <w:left w:val="none" w:sz="0" w:space="0" w:color="auto"/>
        <w:bottom w:val="none" w:sz="0" w:space="0" w:color="auto"/>
        <w:right w:val="none" w:sz="0" w:space="0" w:color="auto"/>
      </w:divBdr>
    </w:div>
    <w:div w:id="608513305">
      <w:bodyDiv w:val="1"/>
      <w:marLeft w:val="0"/>
      <w:marRight w:val="0"/>
      <w:marTop w:val="0"/>
      <w:marBottom w:val="0"/>
      <w:divBdr>
        <w:top w:val="none" w:sz="0" w:space="0" w:color="auto"/>
        <w:left w:val="none" w:sz="0" w:space="0" w:color="auto"/>
        <w:bottom w:val="none" w:sz="0" w:space="0" w:color="auto"/>
        <w:right w:val="none" w:sz="0" w:space="0" w:color="auto"/>
      </w:divBdr>
    </w:div>
    <w:div w:id="777068399">
      <w:bodyDiv w:val="1"/>
      <w:marLeft w:val="0"/>
      <w:marRight w:val="0"/>
      <w:marTop w:val="0"/>
      <w:marBottom w:val="0"/>
      <w:divBdr>
        <w:top w:val="none" w:sz="0" w:space="0" w:color="auto"/>
        <w:left w:val="none" w:sz="0" w:space="0" w:color="auto"/>
        <w:bottom w:val="none" w:sz="0" w:space="0" w:color="auto"/>
        <w:right w:val="none" w:sz="0" w:space="0" w:color="auto"/>
      </w:divBdr>
    </w:div>
    <w:div w:id="1237983347">
      <w:bodyDiv w:val="1"/>
      <w:marLeft w:val="0"/>
      <w:marRight w:val="0"/>
      <w:marTop w:val="0"/>
      <w:marBottom w:val="0"/>
      <w:divBdr>
        <w:top w:val="none" w:sz="0" w:space="0" w:color="auto"/>
        <w:left w:val="none" w:sz="0" w:space="0" w:color="auto"/>
        <w:bottom w:val="none" w:sz="0" w:space="0" w:color="auto"/>
        <w:right w:val="none" w:sz="0" w:space="0" w:color="auto"/>
      </w:divBdr>
    </w:div>
    <w:div w:id="1246036455">
      <w:bodyDiv w:val="1"/>
      <w:marLeft w:val="0"/>
      <w:marRight w:val="0"/>
      <w:marTop w:val="0"/>
      <w:marBottom w:val="0"/>
      <w:divBdr>
        <w:top w:val="none" w:sz="0" w:space="0" w:color="auto"/>
        <w:left w:val="none" w:sz="0" w:space="0" w:color="auto"/>
        <w:bottom w:val="none" w:sz="0" w:space="0" w:color="auto"/>
        <w:right w:val="none" w:sz="0" w:space="0" w:color="auto"/>
      </w:divBdr>
    </w:div>
    <w:div w:id="126499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TuikUser\32230010146\Desktop\Kitap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TuikUser\32230010146\Desktop\Kitap1.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tr-TR" sz="1400" b="1" i="0" baseline="0"/>
              <a:t>Kütahya'nın En Çok İhracat Yaptığı Ülkeler (Milyon $)</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'Ülke 2014-2015'!$B$2</c:f>
              <c:strCache>
                <c:ptCount val="1"/>
                <c:pt idx="0">
                  <c:v>2014</c:v>
                </c:pt>
              </c:strCache>
            </c:strRef>
          </c:tx>
          <c:invertIfNegative val="0"/>
          <c:dLbls>
            <c:dLbl>
              <c:idx val="0"/>
              <c:layout>
                <c:manualLayout>
                  <c:x val="3.3653711588685416E-2"/>
                  <c:y val="1.2100170355154314E-2"/>
                </c:manualLayout>
              </c:layout>
              <c:showLegendKey val="0"/>
              <c:showVal val="1"/>
              <c:showCatName val="0"/>
              <c:showSerName val="0"/>
              <c:showPercent val="0"/>
              <c:showBubbleSize val="0"/>
            </c:dLbl>
            <c:txPr>
              <a:bodyPr/>
              <a:lstStyle/>
              <a:p>
                <a:pPr>
                  <a:defRPr sz="1200" b="0"/>
                </a:pPr>
                <a:endParaRPr lang="tr-TR"/>
              </a:p>
            </c:txPr>
            <c:showLegendKey val="0"/>
            <c:showVal val="1"/>
            <c:showCatName val="0"/>
            <c:showSerName val="0"/>
            <c:showPercent val="0"/>
            <c:showBubbleSize val="0"/>
            <c:showLeaderLines val="0"/>
          </c:dLbls>
          <c:cat>
            <c:strRef>
              <c:f>'Ülke 2014-2015'!$A$3:$A$8</c:f>
              <c:strCache>
                <c:ptCount val="6"/>
                <c:pt idx="0">
                  <c:v>Almanya</c:v>
                </c:pt>
                <c:pt idx="1">
                  <c:v>ABD</c:v>
                </c:pt>
                <c:pt idx="2">
                  <c:v>İspanya</c:v>
                </c:pt>
                <c:pt idx="3">
                  <c:v>İtalya</c:v>
                </c:pt>
                <c:pt idx="4">
                  <c:v>Fransa</c:v>
                </c:pt>
                <c:pt idx="5">
                  <c:v>İngiltere</c:v>
                </c:pt>
              </c:strCache>
            </c:strRef>
          </c:cat>
          <c:val>
            <c:numRef>
              <c:f>'Ülke 2014-2015'!$B$3:$B$8</c:f>
              <c:numCache>
                <c:formatCode>#,##0.00</c:formatCode>
                <c:ptCount val="6"/>
                <c:pt idx="0">
                  <c:v>19.252536999999997</c:v>
                </c:pt>
                <c:pt idx="1">
                  <c:v>12.741921999999999</c:v>
                </c:pt>
                <c:pt idx="2">
                  <c:v>11.846461</c:v>
                </c:pt>
                <c:pt idx="3">
                  <c:v>9.0655440000000027</c:v>
                </c:pt>
                <c:pt idx="4">
                  <c:v>11.924088000000001</c:v>
                </c:pt>
                <c:pt idx="5">
                  <c:v>12.234276999999999</c:v>
                </c:pt>
              </c:numCache>
            </c:numRef>
          </c:val>
        </c:ser>
        <c:ser>
          <c:idx val="1"/>
          <c:order val="1"/>
          <c:tx>
            <c:strRef>
              <c:f>'Ülke 2014-2015'!$C$2</c:f>
              <c:strCache>
                <c:ptCount val="1"/>
                <c:pt idx="0">
                  <c:v>2015</c:v>
                </c:pt>
              </c:strCache>
            </c:strRef>
          </c:tx>
          <c:invertIfNegative val="0"/>
          <c:dLbls>
            <c:dLbl>
              <c:idx val="0"/>
              <c:layout>
                <c:manualLayout>
                  <c:x val="1.9875776397515574E-2"/>
                  <c:y val="0"/>
                </c:manualLayout>
              </c:layout>
              <c:showLegendKey val="0"/>
              <c:showVal val="1"/>
              <c:showCatName val="0"/>
              <c:showSerName val="0"/>
              <c:showPercent val="0"/>
              <c:showBubbleSize val="0"/>
            </c:dLbl>
            <c:dLbl>
              <c:idx val="1"/>
              <c:layout>
                <c:manualLayout>
                  <c:x val="2.6185634999330073E-2"/>
                  <c:y val="4.0333901183847711E-3"/>
                </c:manualLayout>
              </c:layout>
              <c:showLegendKey val="0"/>
              <c:showVal val="1"/>
              <c:showCatName val="0"/>
              <c:showSerName val="0"/>
              <c:showPercent val="0"/>
              <c:showBubbleSize val="0"/>
            </c:dLbl>
            <c:dLbl>
              <c:idx val="2"/>
              <c:layout>
                <c:manualLayout>
                  <c:x val="2.3188405797101418E-2"/>
                  <c:y val="-7.0175438596491299E-3"/>
                </c:manualLayout>
              </c:layout>
              <c:showLegendKey val="0"/>
              <c:showVal val="1"/>
              <c:showCatName val="0"/>
              <c:showSerName val="0"/>
              <c:showPercent val="0"/>
              <c:showBubbleSize val="0"/>
            </c:dLbl>
            <c:dLbl>
              <c:idx val="3"/>
              <c:layout>
                <c:manualLayout>
                  <c:x val="1.8930212768635542E-2"/>
                  <c:y val="8.066780236769544E-3"/>
                </c:manualLayout>
              </c:layout>
              <c:showLegendKey val="0"/>
              <c:showVal val="1"/>
              <c:showCatName val="0"/>
              <c:showSerName val="0"/>
              <c:showPercent val="0"/>
              <c:showBubbleSize val="0"/>
            </c:dLbl>
            <c:dLbl>
              <c:idx val="4"/>
              <c:layout>
                <c:manualLayout>
                  <c:x val="2.1033569742928387E-2"/>
                  <c:y val="4.0333901183847711E-3"/>
                </c:manualLayout>
              </c:layout>
              <c:showLegendKey val="0"/>
              <c:showVal val="1"/>
              <c:showCatName val="0"/>
              <c:showSerName val="0"/>
              <c:showPercent val="0"/>
              <c:showBubbleSize val="0"/>
            </c:dLbl>
            <c:dLbl>
              <c:idx val="5"/>
              <c:layout>
                <c:manualLayout>
                  <c:x val="3.155035461439256E-2"/>
                  <c:y val="-4.0333901183847711E-3"/>
                </c:manualLayout>
              </c:layout>
              <c:showLegendKey val="0"/>
              <c:showVal val="1"/>
              <c:showCatName val="0"/>
              <c:showSerName val="0"/>
              <c:showPercent val="0"/>
              <c:showBubbleSize val="0"/>
            </c:dLbl>
            <c:txPr>
              <a:bodyPr/>
              <a:lstStyle/>
              <a:p>
                <a:pPr>
                  <a:defRPr sz="1200"/>
                </a:pPr>
                <a:endParaRPr lang="tr-TR"/>
              </a:p>
            </c:txPr>
            <c:showLegendKey val="0"/>
            <c:showVal val="1"/>
            <c:showCatName val="0"/>
            <c:showSerName val="0"/>
            <c:showPercent val="0"/>
            <c:showBubbleSize val="0"/>
            <c:showLeaderLines val="0"/>
          </c:dLbls>
          <c:cat>
            <c:strRef>
              <c:f>'Ülke 2014-2015'!$A$3:$A$8</c:f>
              <c:strCache>
                <c:ptCount val="6"/>
                <c:pt idx="0">
                  <c:v>Almanya</c:v>
                </c:pt>
                <c:pt idx="1">
                  <c:v>ABD</c:v>
                </c:pt>
                <c:pt idx="2">
                  <c:v>İspanya</c:v>
                </c:pt>
                <c:pt idx="3">
                  <c:v>İtalya</c:v>
                </c:pt>
                <c:pt idx="4">
                  <c:v>Fransa</c:v>
                </c:pt>
                <c:pt idx="5">
                  <c:v>İngiltere</c:v>
                </c:pt>
              </c:strCache>
            </c:strRef>
          </c:cat>
          <c:val>
            <c:numRef>
              <c:f>'Ülke 2014-2015'!$C$3:$C$8</c:f>
              <c:numCache>
                <c:formatCode>#,##0.00</c:formatCode>
                <c:ptCount val="6"/>
                <c:pt idx="0">
                  <c:v>14.414376000000001</c:v>
                </c:pt>
                <c:pt idx="1">
                  <c:v>11.856399000000001</c:v>
                </c:pt>
                <c:pt idx="2">
                  <c:v>9.5361979999999988</c:v>
                </c:pt>
                <c:pt idx="3">
                  <c:v>8.7748989999999996</c:v>
                </c:pt>
                <c:pt idx="4">
                  <c:v>7.883521</c:v>
                </c:pt>
                <c:pt idx="5">
                  <c:v>6.9329980000000004</c:v>
                </c:pt>
              </c:numCache>
            </c:numRef>
          </c:val>
        </c:ser>
        <c:dLbls>
          <c:showLegendKey val="0"/>
          <c:showVal val="1"/>
          <c:showCatName val="0"/>
          <c:showSerName val="0"/>
          <c:showPercent val="0"/>
          <c:showBubbleSize val="0"/>
        </c:dLbls>
        <c:gapWidth val="150"/>
        <c:shape val="cylinder"/>
        <c:axId val="120155136"/>
        <c:axId val="121000704"/>
        <c:axId val="0"/>
      </c:bar3DChart>
      <c:catAx>
        <c:axId val="120155136"/>
        <c:scaling>
          <c:orientation val="minMax"/>
        </c:scaling>
        <c:delete val="0"/>
        <c:axPos val="b"/>
        <c:numFmt formatCode="General" sourceLinked="1"/>
        <c:majorTickMark val="out"/>
        <c:minorTickMark val="none"/>
        <c:tickLblPos val="nextTo"/>
        <c:crossAx val="121000704"/>
        <c:crossesAt val="0"/>
        <c:auto val="1"/>
        <c:lblAlgn val="ctr"/>
        <c:lblOffset val="100"/>
        <c:noMultiLvlLbl val="0"/>
      </c:catAx>
      <c:valAx>
        <c:axId val="121000704"/>
        <c:scaling>
          <c:orientation val="minMax"/>
        </c:scaling>
        <c:delete val="0"/>
        <c:axPos val="l"/>
        <c:majorGridlines>
          <c:spPr>
            <a:ln w="6350"/>
          </c:spPr>
        </c:majorGridlines>
        <c:numFmt formatCode="#,##0.00" sourceLinked="0"/>
        <c:majorTickMark val="out"/>
        <c:minorTickMark val="none"/>
        <c:tickLblPos val="nextTo"/>
        <c:crossAx val="120155136"/>
        <c:crosses val="autoZero"/>
        <c:crossBetween val="between"/>
        <c:majorUnit val="5"/>
      </c:val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tr-TR" sz="1400"/>
              <a:t>Kütahya'nın</a:t>
            </a:r>
            <a:r>
              <a:rPr lang="tr-TR" sz="1400" baseline="0"/>
              <a:t> En Çok İhraç Ettiği Beş Ürün (Milyon $)</a:t>
            </a:r>
            <a:endParaRPr lang="tr-TR" sz="1400"/>
          </a:p>
        </c:rich>
      </c:tx>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6.7020321270937572E-2"/>
          <c:y val="0.10926023752046272"/>
          <c:w val="0.93297967872906262"/>
          <c:h val="0.65421557357558635"/>
        </c:manualLayout>
      </c:layout>
      <c:bar3DChart>
        <c:barDir val="col"/>
        <c:grouping val="clustered"/>
        <c:varyColors val="0"/>
        <c:ser>
          <c:idx val="0"/>
          <c:order val="0"/>
          <c:tx>
            <c:strRef>
              <c:f>'Ürün 2014-2015'!$B$2</c:f>
              <c:strCache>
                <c:ptCount val="1"/>
                <c:pt idx="0">
                  <c:v>2014</c:v>
                </c:pt>
              </c:strCache>
            </c:strRef>
          </c:tx>
          <c:invertIfNegative val="0"/>
          <c:dLbls>
            <c:dLbl>
              <c:idx val="2"/>
              <c:layout>
                <c:manualLayout>
                  <c:x val="-1.0917030567685589E-2"/>
                  <c:y val="-2.9093301530765852E-3"/>
                </c:manualLayout>
              </c:layout>
              <c:showLegendKey val="0"/>
              <c:showVal val="1"/>
              <c:showCatName val="0"/>
              <c:showSerName val="0"/>
              <c:showPercent val="0"/>
              <c:showBubbleSize val="0"/>
            </c:dLbl>
            <c:dLbl>
              <c:idx val="3"/>
              <c:layout>
                <c:manualLayout>
                  <c:x val="-1.0917030567685509E-2"/>
                  <c:y val="0"/>
                </c:manualLayout>
              </c:layout>
              <c:showLegendKey val="0"/>
              <c:showVal val="1"/>
              <c:showCatName val="0"/>
              <c:showSerName val="0"/>
              <c:showPercent val="0"/>
              <c:showBubbleSize val="0"/>
            </c:dLbl>
            <c:dLbl>
              <c:idx val="4"/>
              <c:layout>
                <c:manualLayout>
                  <c:x val="-6.4210229346805137E-3"/>
                  <c:y val="-3.4571915300440886E-3"/>
                </c:manualLayout>
              </c:layout>
              <c:showLegendKey val="0"/>
              <c:showVal val="1"/>
              <c:showCatName val="0"/>
              <c:showSerName val="0"/>
              <c:showPercent val="0"/>
              <c:showBubbleSize val="0"/>
            </c:dLbl>
            <c:txPr>
              <a:bodyPr/>
              <a:lstStyle/>
              <a:p>
                <a:pPr>
                  <a:defRPr sz="1400" b="0"/>
                </a:pPr>
                <a:endParaRPr lang="tr-TR"/>
              </a:p>
            </c:txPr>
            <c:showLegendKey val="0"/>
            <c:showVal val="1"/>
            <c:showCatName val="0"/>
            <c:showSerName val="0"/>
            <c:showPercent val="0"/>
            <c:showBubbleSize val="0"/>
            <c:showLeaderLines val="0"/>
          </c:dLbls>
          <c:cat>
            <c:strRef>
              <c:f>'Ürün 2014-2015'!$A$3:$A$7</c:f>
              <c:strCache>
                <c:ptCount val="5"/>
                <c:pt idx="0">
                  <c:v>Cam ve cam ürünleri</c:v>
                </c:pt>
                <c:pt idx="1">
                  <c:v>Yapı malzemeleri dışındaki, ateşe dayanıklı olmayan seramik eşya</c:v>
                </c:pt>
                <c:pt idx="2">
                  <c:v>Ateşe dayanıklı olmayan, kil ve seramik yapı malzemeleri</c:v>
                </c:pt>
                <c:pt idx="3">
                  <c:v>Demir-çelik dışındaki ana metal sanayi</c:v>
                </c:pt>
                <c:pt idx="4">
                  <c:v>Taş</c:v>
                </c:pt>
              </c:strCache>
            </c:strRef>
          </c:cat>
          <c:val>
            <c:numRef>
              <c:f>'Ürün 2014-2015'!$B$3:$B$7</c:f>
              <c:numCache>
                <c:formatCode>#,##0.00</c:formatCode>
                <c:ptCount val="5"/>
                <c:pt idx="0">
                  <c:v>74.279567999999998</c:v>
                </c:pt>
                <c:pt idx="1">
                  <c:v>54.888799000000006</c:v>
                </c:pt>
                <c:pt idx="2">
                  <c:v>12.033311999999999</c:v>
                </c:pt>
                <c:pt idx="3">
                  <c:v>7.2704310000000003</c:v>
                </c:pt>
                <c:pt idx="4">
                  <c:v>10.532311999999999</c:v>
                </c:pt>
              </c:numCache>
            </c:numRef>
          </c:val>
        </c:ser>
        <c:ser>
          <c:idx val="1"/>
          <c:order val="1"/>
          <c:tx>
            <c:strRef>
              <c:f>'Ürün 2014-2015'!$C$2</c:f>
              <c:strCache>
                <c:ptCount val="1"/>
                <c:pt idx="0">
                  <c:v>2015</c:v>
                </c:pt>
              </c:strCache>
            </c:strRef>
          </c:tx>
          <c:invertIfNegative val="0"/>
          <c:dLbls>
            <c:dLbl>
              <c:idx val="0"/>
              <c:layout>
                <c:manualLayout>
                  <c:x val="2.6921159293661599E-2"/>
                  <c:y val="-9.0497737556561059E-3"/>
                </c:manualLayout>
              </c:layout>
              <c:showLegendKey val="0"/>
              <c:showVal val="1"/>
              <c:showCatName val="0"/>
              <c:showSerName val="0"/>
              <c:showPercent val="0"/>
              <c:showBubbleSize val="0"/>
            </c:dLbl>
            <c:dLbl>
              <c:idx val="1"/>
              <c:layout>
                <c:manualLayout>
                  <c:x val="2.8682497911010792E-2"/>
                  <c:y val="0"/>
                </c:manualLayout>
              </c:layout>
              <c:showLegendKey val="0"/>
              <c:showVal val="1"/>
              <c:showCatName val="0"/>
              <c:showSerName val="0"/>
              <c:showPercent val="0"/>
              <c:showBubbleSize val="0"/>
            </c:dLbl>
            <c:dLbl>
              <c:idx val="2"/>
              <c:layout>
                <c:manualLayout>
                  <c:x val="2.3188405797101394E-2"/>
                  <c:y val="-7.0175438596491333E-3"/>
                </c:manualLayout>
              </c:layout>
              <c:showLegendKey val="0"/>
              <c:showVal val="1"/>
              <c:showCatName val="0"/>
              <c:showSerName val="0"/>
              <c:showPercent val="0"/>
              <c:showBubbleSize val="0"/>
            </c:dLbl>
            <c:dLbl>
              <c:idx val="3"/>
              <c:layout>
                <c:manualLayout>
                  <c:x val="1.5283842794759745E-2"/>
                  <c:y val="-2.9093301530765852E-3"/>
                </c:manualLayout>
              </c:layout>
              <c:showLegendKey val="0"/>
              <c:showVal val="1"/>
              <c:showCatName val="0"/>
              <c:showSerName val="0"/>
              <c:showPercent val="0"/>
              <c:showBubbleSize val="0"/>
            </c:dLbl>
            <c:dLbl>
              <c:idx val="4"/>
              <c:layout>
                <c:manualLayout>
                  <c:x val="3.3599140088519178E-2"/>
                  <c:y val="-3.0164676649147783E-3"/>
                </c:manualLayout>
              </c:layout>
              <c:showLegendKey val="0"/>
              <c:showVal val="1"/>
              <c:showCatName val="0"/>
              <c:showSerName val="0"/>
              <c:showPercent val="0"/>
              <c:showBubbleSize val="0"/>
            </c:dLbl>
            <c:txPr>
              <a:bodyPr/>
              <a:lstStyle/>
              <a:p>
                <a:pPr>
                  <a:defRPr sz="1400"/>
                </a:pPr>
                <a:endParaRPr lang="tr-TR"/>
              </a:p>
            </c:txPr>
            <c:showLegendKey val="0"/>
            <c:showVal val="1"/>
            <c:showCatName val="0"/>
            <c:showSerName val="0"/>
            <c:showPercent val="0"/>
            <c:showBubbleSize val="0"/>
            <c:showLeaderLines val="0"/>
          </c:dLbls>
          <c:cat>
            <c:strRef>
              <c:f>'Ürün 2014-2015'!$A$3:$A$7</c:f>
              <c:strCache>
                <c:ptCount val="5"/>
                <c:pt idx="0">
                  <c:v>Cam ve cam ürünleri</c:v>
                </c:pt>
                <c:pt idx="1">
                  <c:v>Yapı malzemeleri dışındaki, ateşe dayanıklı olmayan seramik eşya</c:v>
                </c:pt>
                <c:pt idx="2">
                  <c:v>Ateşe dayanıklı olmayan, kil ve seramik yapı malzemeleri</c:v>
                </c:pt>
                <c:pt idx="3">
                  <c:v>Demir-çelik dışındaki ana metal sanayi</c:v>
                </c:pt>
                <c:pt idx="4">
                  <c:v>Taş</c:v>
                </c:pt>
              </c:strCache>
            </c:strRef>
          </c:cat>
          <c:val>
            <c:numRef>
              <c:f>'Ürün 2014-2015'!$C$3:$C$7</c:f>
              <c:numCache>
                <c:formatCode>#,##0.00</c:formatCode>
                <c:ptCount val="5"/>
                <c:pt idx="0">
                  <c:v>54.942690999999996</c:v>
                </c:pt>
                <c:pt idx="1">
                  <c:v>49.640491000000004</c:v>
                </c:pt>
                <c:pt idx="2">
                  <c:v>16.523266</c:v>
                </c:pt>
                <c:pt idx="3">
                  <c:v>12.886751</c:v>
                </c:pt>
                <c:pt idx="4">
                  <c:v>10.409233</c:v>
                </c:pt>
              </c:numCache>
            </c:numRef>
          </c:val>
        </c:ser>
        <c:dLbls>
          <c:showLegendKey val="0"/>
          <c:showVal val="1"/>
          <c:showCatName val="0"/>
          <c:showSerName val="0"/>
          <c:showPercent val="0"/>
          <c:showBubbleSize val="0"/>
        </c:dLbls>
        <c:gapWidth val="150"/>
        <c:shape val="box"/>
        <c:axId val="121035392"/>
        <c:axId val="123289984"/>
        <c:axId val="0"/>
      </c:bar3DChart>
      <c:catAx>
        <c:axId val="121035392"/>
        <c:scaling>
          <c:orientation val="minMax"/>
        </c:scaling>
        <c:delete val="0"/>
        <c:axPos val="b"/>
        <c:numFmt formatCode="General" sourceLinked="1"/>
        <c:majorTickMark val="out"/>
        <c:minorTickMark val="none"/>
        <c:tickLblPos val="nextTo"/>
        <c:crossAx val="123289984"/>
        <c:crosses val="autoZero"/>
        <c:auto val="1"/>
        <c:lblAlgn val="ctr"/>
        <c:lblOffset val="100"/>
        <c:noMultiLvlLbl val="0"/>
      </c:catAx>
      <c:valAx>
        <c:axId val="123289984"/>
        <c:scaling>
          <c:orientation val="minMax"/>
        </c:scaling>
        <c:delete val="0"/>
        <c:axPos val="l"/>
        <c:majorGridlines/>
        <c:numFmt formatCode="#,##0.00" sourceLinked="1"/>
        <c:majorTickMark val="out"/>
        <c:minorTickMark val="none"/>
        <c:tickLblPos val="nextTo"/>
        <c:crossAx val="121035392"/>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3</Pages>
  <Words>685</Words>
  <Characters>3909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İlyas</dc:creator>
  <cp:lastModifiedBy>m kose</cp:lastModifiedBy>
  <cp:revision>2</cp:revision>
  <dcterms:created xsi:type="dcterms:W3CDTF">2016-03-11T14:07:00Z</dcterms:created>
  <dcterms:modified xsi:type="dcterms:W3CDTF">2016-03-11T14:07:00Z</dcterms:modified>
</cp:coreProperties>
</file>