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806C2E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202</w:t>
            </w:r>
            <w:r w:rsidR="00D96AEB">
              <w:rPr>
                <w:rFonts w:asciiTheme="majorHAnsi" w:eastAsiaTheme="majorEastAsia" w:hAnsiTheme="majorHAnsi" w:cstheme="majorBidi"/>
                <w:sz w:val="36"/>
                <w:szCs w:val="36"/>
              </w:rPr>
              <w:t>0</w:t>
            </w:r>
            <w:r w:rsidR="00550C5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96AEB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806C2E" w:rsidP="0020633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D96AE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D96AE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2021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C3BE887" wp14:editId="71544521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3027FC" w:rsidRDefault="00D96AEB" w:rsidP="00AD2065">
      <w:pPr>
        <w:rPr>
          <w:b/>
        </w:rPr>
      </w:pPr>
      <w:r>
        <w:rPr>
          <w:b/>
        </w:rPr>
        <w:t>Aralık</w:t>
      </w:r>
      <w:r w:rsidR="00806C2E">
        <w:rPr>
          <w:b/>
        </w:rPr>
        <w:t xml:space="preserve"> 202</w:t>
      </w:r>
      <w:r>
        <w:rPr>
          <w:b/>
        </w:rPr>
        <w:t>0</w:t>
      </w:r>
      <w:r w:rsidR="00EF4E45" w:rsidRPr="003027FC">
        <w:rPr>
          <w:b/>
        </w:rPr>
        <w:t xml:space="preserve"> </w:t>
      </w:r>
      <w:r w:rsidR="007B58E6" w:rsidRPr="003027FC">
        <w:rPr>
          <w:b/>
        </w:rPr>
        <w:t>Sanayi Üretim Endeksi’ne</w:t>
      </w:r>
      <w:r w:rsidR="00EF4E45" w:rsidRPr="003027FC">
        <w:rPr>
          <w:b/>
        </w:rPr>
        <w:t xml:space="preserve"> ilişkin veriler Türkiye İstat</w:t>
      </w:r>
      <w:r w:rsidR="007441EB" w:rsidRPr="003027FC">
        <w:rPr>
          <w:b/>
        </w:rPr>
        <w:t xml:space="preserve">istik Kurumu (TÜİK) tarafından </w:t>
      </w:r>
      <w:r w:rsidR="00806C2E">
        <w:rPr>
          <w:b/>
        </w:rPr>
        <w:t>1</w:t>
      </w:r>
      <w:r>
        <w:rPr>
          <w:b/>
        </w:rPr>
        <w:t>2</w:t>
      </w:r>
      <w:r w:rsidR="00D16216" w:rsidRPr="003027FC">
        <w:rPr>
          <w:b/>
        </w:rPr>
        <w:t xml:space="preserve"> </w:t>
      </w:r>
      <w:r>
        <w:rPr>
          <w:b/>
        </w:rPr>
        <w:t>Şubat</w:t>
      </w:r>
      <w:r w:rsidR="00425CC3">
        <w:rPr>
          <w:b/>
        </w:rPr>
        <w:t xml:space="preserve"> </w:t>
      </w:r>
      <w:r w:rsidR="00806C2E">
        <w:rPr>
          <w:b/>
        </w:rPr>
        <w:t>2021</w:t>
      </w:r>
      <w:r w:rsidR="00EF4E45" w:rsidRPr="003027FC">
        <w:rPr>
          <w:b/>
        </w:rPr>
        <w:t xml:space="preserve"> tarihinde yayımlandı.</w:t>
      </w:r>
    </w:p>
    <w:p w:rsidR="00DF5145" w:rsidRDefault="00EF4E45" w:rsidP="00EF4E45">
      <w:r w:rsidRPr="003027FC">
        <w:t xml:space="preserve">TÜİK tarafından aylık yayımlanan </w:t>
      </w:r>
      <w:r w:rsidR="007B58E6" w:rsidRPr="003027FC">
        <w:t>Sanayi Üretim Endeksi</w:t>
      </w:r>
      <w:r w:rsidRPr="003027FC">
        <w:t>,</w:t>
      </w:r>
      <w:r w:rsidR="007B58E6" w:rsidRPr="003027FC">
        <w:t xml:space="preserve"> Türkiye’deki sanayi kuruluşlarının toplam üretiminin</w:t>
      </w:r>
      <w:r w:rsidRPr="003027FC">
        <w:t xml:space="preserve"> zaman içindeki değişim</w:t>
      </w:r>
      <w:r w:rsidR="007B58E6" w:rsidRPr="003027FC">
        <w:t>i</w:t>
      </w:r>
      <w:r w:rsidRPr="003027FC">
        <w:t xml:space="preserve"> hakkında bilgi vermektedir.</w:t>
      </w:r>
      <w:r w:rsidR="00522A6C" w:rsidRPr="003027FC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5105C7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78F522B2" wp14:editId="13E5176F">
            <wp:extent cx="5972810" cy="2345634"/>
            <wp:effectExtent l="0" t="0" r="8890" b="1714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10093A" w:rsidRDefault="005105C7" w:rsidP="00C144CC">
      <w:pPr>
        <w:jc w:val="both"/>
      </w:pPr>
      <w:r>
        <w:t>Aralık</w:t>
      </w:r>
      <w:r w:rsidR="001D0F6E" w:rsidRPr="0010093A">
        <w:t xml:space="preserve"> </w:t>
      </w:r>
      <w:r w:rsidR="00574C38" w:rsidRPr="0010093A">
        <w:t xml:space="preserve">ayında Türkiye (TR) Geneli </w:t>
      </w:r>
      <w:r w:rsidR="007B58E6" w:rsidRPr="0010093A">
        <w:t>Sanayi Üretim Endeksi</w:t>
      </w:r>
      <w:r w:rsidR="00574C38" w:rsidRPr="0010093A">
        <w:t xml:space="preserve"> </w:t>
      </w:r>
      <w:r w:rsidR="00EE2F80" w:rsidRPr="0010093A">
        <w:rPr>
          <w:b/>
          <w:u w:val="single"/>
        </w:rPr>
        <w:t>bir önceki aya (</w:t>
      </w:r>
      <w:r>
        <w:rPr>
          <w:b/>
          <w:u w:val="single"/>
        </w:rPr>
        <w:t>Kasım</w:t>
      </w:r>
      <w:r w:rsidR="001D0F6E" w:rsidRPr="0010093A">
        <w:rPr>
          <w:b/>
          <w:u w:val="single"/>
        </w:rPr>
        <w:t xml:space="preserve"> 2020</w:t>
      </w:r>
      <w:r w:rsidR="00574C38" w:rsidRPr="0010093A">
        <w:rPr>
          <w:b/>
          <w:u w:val="single"/>
        </w:rPr>
        <w:t>) göre</w:t>
      </w:r>
      <w:r w:rsidR="00574C38" w:rsidRPr="0010093A">
        <w:t xml:space="preserve"> yüzde </w:t>
      </w:r>
      <w:r w:rsidR="00247016">
        <w:t>1,3</w:t>
      </w:r>
      <w:r w:rsidR="00E7657B" w:rsidRPr="0010093A">
        <w:t xml:space="preserve"> </w:t>
      </w:r>
      <w:r w:rsidR="00026B0C" w:rsidRPr="0010093A">
        <w:t>artış</w:t>
      </w:r>
      <w:r w:rsidR="006A4591" w:rsidRPr="0010093A">
        <w:t xml:space="preserve"> </w:t>
      </w:r>
      <w:r w:rsidR="00370B3E" w:rsidRPr="0010093A">
        <w:t>göst</w:t>
      </w:r>
      <w:r w:rsidR="004B6888" w:rsidRPr="0010093A">
        <w:t>ermiştir</w:t>
      </w:r>
      <w:r w:rsidR="00574C38" w:rsidRPr="0010093A">
        <w:t xml:space="preserve">. </w:t>
      </w:r>
      <w:r>
        <w:t>Aralık</w:t>
      </w:r>
      <w:r w:rsidR="00321C90" w:rsidRPr="0010093A">
        <w:t>(2020</w:t>
      </w:r>
      <w:r w:rsidR="00574C38" w:rsidRPr="0010093A">
        <w:t>) ayında</w:t>
      </w:r>
      <w:r w:rsidR="007E6746" w:rsidRPr="0010093A">
        <w:t xml:space="preserve">ki </w:t>
      </w:r>
      <w:r w:rsidR="00FF1E7D" w:rsidRPr="0010093A">
        <w:t>a</w:t>
      </w:r>
      <w:r w:rsidR="00026B0C" w:rsidRPr="0010093A">
        <w:t>rtışta</w:t>
      </w:r>
      <w:r w:rsidR="00DB1F8E" w:rsidRPr="0010093A">
        <w:t xml:space="preserve"> </w:t>
      </w:r>
      <w:r w:rsidR="007E6746" w:rsidRPr="0010093A">
        <w:t xml:space="preserve">bir önceki </w:t>
      </w:r>
      <w:r w:rsidR="0092656D" w:rsidRPr="0010093A">
        <w:t>aya göre</w:t>
      </w:r>
      <w:r w:rsidR="009B45CA" w:rsidRPr="0010093A">
        <w:t xml:space="preserve"> </w:t>
      </w:r>
      <w:r w:rsidR="00917F25">
        <w:t>madencilik ve taş ocakçılığı</w:t>
      </w:r>
      <w:r w:rsidR="00917F25" w:rsidRPr="0010093A">
        <w:t xml:space="preserve"> </w:t>
      </w:r>
      <w:r w:rsidR="00917F25">
        <w:t>sektöründeki yüzde 3</w:t>
      </w:r>
      <w:r w:rsidR="00247016">
        <w:t>,5’li</w:t>
      </w:r>
      <w:r w:rsidR="0010093A" w:rsidRPr="0010093A">
        <w:t xml:space="preserve">k </w:t>
      </w:r>
      <w:r w:rsidR="003D15AD">
        <w:t xml:space="preserve">ve </w:t>
      </w:r>
      <w:r w:rsidR="00917F25" w:rsidRPr="0010093A">
        <w:t xml:space="preserve">imalat sanayi </w:t>
      </w:r>
      <w:r w:rsidR="00917F25">
        <w:t>sektöründeki yüzde 1,4</w:t>
      </w:r>
      <w:r w:rsidR="003D15AD">
        <w:t xml:space="preserve">’lük </w:t>
      </w:r>
      <w:r w:rsidR="0010093A" w:rsidRPr="0010093A">
        <w:t xml:space="preserve">artış etkili olmuştur. </w:t>
      </w:r>
      <w:r w:rsidR="003D15AD">
        <w:t>E</w:t>
      </w:r>
      <w:r w:rsidR="0010093A" w:rsidRPr="0010093A">
        <w:t xml:space="preserve">lektrik, gaz, buhar ve iklimlendirme üretimi ve dağıtımı sektöründe </w:t>
      </w:r>
      <w:r w:rsidR="003D15AD">
        <w:t xml:space="preserve">ise </w:t>
      </w:r>
      <w:r w:rsidR="001D0F6E" w:rsidRPr="0010093A">
        <w:t xml:space="preserve">yüzde </w:t>
      </w:r>
      <w:r w:rsidR="00917F25">
        <w:t>1,4’lü</w:t>
      </w:r>
      <w:r w:rsidR="00425CC3" w:rsidRPr="0010093A">
        <w:t xml:space="preserve">k </w:t>
      </w:r>
      <w:r w:rsidR="0010093A">
        <w:t xml:space="preserve">azalış </w:t>
      </w:r>
      <w:r w:rsidR="0010093A" w:rsidRPr="0010093A">
        <w:t xml:space="preserve">görülmüştür. </w:t>
      </w:r>
    </w:p>
    <w:p w:rsidR="007B58E6" w:rsidRPr="0010093A" w:rsidRDefault="00C04441" w:rsidP="007B58E6">
      <w:pPr>
        <w:jc w:val="both"/>
      </w:pPr>
      <w:r w:rsidRPr="0010093A">
        <w:t>Ana sanayi gruplarına</w:t>
      </w:r>
      <w:r w:rsidR="007B58E6" w:rsidRPr="0010093A">
        <w:t xml:space="preserve"> bakıldığında </w:t>
      </w:r>
      <w:r w:rsidR="0003703C" w:rsidRPr="0010093A">
        <w:t>toplam sanayi endeksindeki</w:t>
      </w:r>
      <w:r w:rsidR="00475829" w:rsidRPr="0010093A">
        <w:t xml:space="preserve"> </w:t>
      </w:r>
      <w:r w:rsidR="0065024A" w:rsidRPr="0010093A">
        <w:t>artışta</w:t>
      </w:r>
      <w:r w:rsidR="00D465B9" w:rsidRPr="0010093A">
        <w:t xml:space="preserve"> </w:t>
      </w:r>
      <w:r w:rsidR="003D15AD">
        <w:t>sermaye malı,</w:t>
      </w:r>
      <w:r w:rsidR="00917F25">
        <w:t xml:space="preserve"> </w:t>
      </w:r>
      <w:r w:rsidR="00917F25" w:rsidRPr="0010093A">
        <w:t>ara malı</w:t>
      </w:r>
      <w:r w:rsidR="00917F25">
        <w:t xml:space="preserve"> ve</w:t>
      </w:r>
      <w:r w:rsidR="003D15AD">
        <w:t xml:space="preserve"> </w:t>
      </w:r>
      <w:r w:rsidR="00917F25">
        <w:t>dayanıksız</w:t>
      </w:r>
      <w:r w:rsidR="0010522E" w:rsidRPr="0010093A">
        <w:t xml:space="preserve"> tüketim</w:t>
      </w:r>
      <w:r w:rsidR="00351107" w:rsidRPr="0010093A">
        <w:t xml:space="preserve"> malı</w:t>
      </w:r>
      <w:r w:rsidR="007F5981" w:rsidRPr="0010093A">
        <w:t xml:space="preserve"> </w:t>
      </w:r>
      <w:r w:rsidR="00C1615C" w:rsidRPr="0010093A">
        <w:t>sektörlerin</w:t>
      </w:r>
      <w:r w:rsidR="00482E70" w:rsidRPr="0010093A">
        <w:t>de</w:t>
      </w:r>
      <w:r w:rsidR="00F27E6F" w:rsidRPr="0010093A">
        <w:t xml:space="preserve"> </w:t>
      </w:r>
      <w:r w:rsidR="00736EAB" w:rsidRPr="0010093A">
        <w:t xml:space="preserve">yaşanan </w:t>
      </w:r>
      <w:r w:rsidR="0065024A" w:rsidRPr="0010093A">
        <w:t>artışın</w:t>
      </w:r>
      <w:r w:rsidR="004D4AD5" w:rsidRPr="0010093A">
        <w:t xml:space="preserve"> </w:t>
      </w:r>
      <w:r w:rsidR="007B58E6" w:rsidRPr="0010093A">
        <w:t>etkisi oldu</w:t>
      </w:r>
      <w:r w:rsidR="00FD0F6A" w:rsidRPr="0010093A">
        <w:t>ğu görülmektedir</w:t>
      </w:r>
      <w:r w:rsidR="00521423" w:rsidRPr="0010093A">
        <w:t xml:space="preserve"> (</w:t>
      </w:r>
      <w:r w:rsidR="00C1615C" w:rsidRPr="0010093A">
        <w:t xml:space="preserve">sırasıyla yüzde </w:t>
      </w:r>
      <w:r w:rsidR="00917F25">
        <w:t>1,9’lu</w:t>
      </w:r>
      <w:r w:rsidR="003D15AD">
        <w:t xml:space="preserve">k, </w:t>
      </w:r>
      <w:r w:rsidR="00917F25">
        <w:t>1,9’lu</w:t>
      </w:r>
      <w:r w:rsidR="00FE73C0">
        <w:t xml:space="preserve">k </w:t>
      </w:r>
      <w:r w:rsidR="00AE2EF8" w:rsidRPr="0010093A">
        <w:t>ve</w:t>
      </w:r>
      <w:r w:rsidR="00863219" w:rsidRPr="0010093A">
        <w:t xml:space="preserve"> </w:t>
      </w:r>
      <w:r w:rsidR="00917F25">
        <w:t>1,3’lü</w:t>
      </w:r>
      <w:r w:rsidR="00A703C9" w:rsidRPr="0010093A">
        <w:t>k</w:t>
      </w:r>
      <w:r w:rsidR="0065024A" w:rsidRPr="0010093A">
        <w:t xml:space="preserve"> artı</w:t>
      </w:r>
      <w:r w:rsidR="000C4540" w:rsidRPr="0010093A">
        <w:t>ş</w:t>
      </w:r>
      <w:r w:rsidR="00321C90" w:rsidRPr="0010093A">
        <w:t>lar</w:t>
      </w:r>
      <w:r w:rsidR="0003703C" w:rsidRPr="0010093A">
        <w:t>)</w:t>
      </w:r>
      <w:r w:rsidR="007B58E6" w:rsidRPr="0010093A">
        <w:t>.</w:t>
      </w:r>
    </w:p>
    <w:p w:rsidR="00737710" w:rsidRDefault="00F27E6F" w:rsidP="000C4540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 w:rsidRPr="0010093A">
        <w:t>Teknoloji sınıflarına bakıldığında bir önceki aya göre</w:t>
      </w:r>
      <w:r w:rsidR="004C2C40" w:rsidRPr="0010093A">
        <w:t xml:space="preserve"> </w:t>
      </w:r>
      <w:r w:rsidR="00917F25">
        <w:t xml:space="preserve">orta </w:t>
      </w:r>
      <w:r w:rsidR="0010522E" w:rsidRPr="0010093A">
        <w:t>yükse</w:t>
      </w:r>
      <w:r w:rsidR="007F5981" w:rsidRPr="0010093A">
        <w:t xml:space="preserve">k teknolojili üretimde yüzde </w:t>
      </w:r>
      <w:r w:rsidR="00917F25">
        <w:t>2,1</w:t>
      </w:r>
      <w:r w:rsidR="00FE73C0">
        <w:t>’li</w:t>
      </w:r>
      <w:r w:rsidR="00D41EF3" w:rsidRPr="0010093A">
        <w:t xml:space="preserve">k, </w:t>
      </w:r>
      <w:r w:rsidR="00917F25">
        <w:t>orta düşük ve düşük teknolojili üretimde yüzde 1,6’lı</w:t>
      </w:r>
      <w:r w:rsidR="003D15AD">
        <w:t>k</w:t>
      </w:r>
      <w:r w:rsidR="00917E12">
        <w:t xml:space="preserve"> artış olmuştur.</w:t>
      </w: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485C64" w:rsidRDefault="00485C64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485C64" w:rsidRDefault="00485C64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B769C4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4F7FA9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560DE5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5105C7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7BB75719" wp14:editId="11F8F0E2">
            <wp:extent cx="5972810" cy="2578735"/>
            <wp:effectExtent l="0" t="0" r="889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BB3175" w:rsidRDefault="00160C8F" w:rsidP="00160C8F">
      <w:pPr>
        <w:jc w:val="both"/>
      </w:pPr>
      <w:r w:rsidRPr="00BB3175">
        <w:t xml:space="preserve">Endeks </w:t>
      </w:r>
      <w:r w:rsidRPr="00BB3175">
        <w:rPr>
          <w:b/>
          <w:u w:val="single"/>
        </w:rPr>
        <w:t>bir önceki yılın aynı ayına göre</w:t>
      </w:r>
      <w:r w:rsidRPr="00BB3175">
        <w:t xml:space="preserve"> yüzde </w:t>
      </w:r>
      <w:r w:rsidR="00917F25">
        <w:t>9</w:t>
      </w:r>
      <w:r w:rsidR="00FE73C0">
        <w:t>,0</w:t>
      </w:r>
      <w:r w:rsidR="00571419" w:rsidRPr="00BB3175">
        <w:t xml:space="preserve"> </w:t>
      </w:r>
      <w:r w:rsidRPr="00BB3175">
        <w:t xml:space="preserve">oranında </w:t>
      </w:r>
      <w:r w:rsidR="00E828B5" w:rsidRPr="00BB3175">
        <w:t>artış</w:t>
      </w:r>
      <w:r w:rsidR="00AB3195" w:rsidRPr="00BB3175">
        <w:t xml:space="preserve"> </w:t>
      </w:r>
      <w:r w:rsidRPr="00BB3175">
        <w:t xml:space="preserve">göstermiştir. </w:t>
      </w:r>
      <w:r w:rsidR="00917F25">
        <w:t>Aralık</w:t>
      </w:r>
      <w:r w:rsidR="0042740D" w:rsidRPr="00BB3175">
        <w:t>(2020</w:t>
      </w:r>
      <w:r w:rsidRPr="00BB3175">
        <w:t xml:space="preserve">) ayında önceki yıla göre ana sanayi </w:t>
      </w:r>
      <w:r w:rsidR="00C04441" w:rsidRPr="00BB3175">
        <w:t>sektörleri</w:t>
      </w:r>
      <w:r w:rsidR="001476B3" w:rsidRPr="00BB3175">
        <w:t xml:space="preserve"> itibariyle </w:t>
      </w:r>
      <w:r w:rsidR="00BB3175" w:rsidRPr="00BB3175">
        <w:t>i</w:t>
      </w:r>
      <w:r w:rsidR="00917F25">
        <w:t>malat sanayi sektöründe yüzde 9</w:t>
      </w:r>
      <w:r w:rsidR="00BB3175" w:rsidRPr="00BB3175">
        <w:t>,</w:t>
      </w:r>
      <w:r w:rsidR="00917F25">
        <w:t>5</w:t>
      </w:r>
      <w:r w:rsidR="00FE73C0">
        <w:t>,</w:t>
      </w:r>
      <w:r w:rsidR="00BB3175" w:rsidRPr="00BB3175">
        <w:t xml:space="preserve"> </w:t>
      </w:r>
      <w:r w:rsidR="00560C90" w:rsidRPr="00BB3175">
        <w:t xml:space="preserve">madencilik ve taşocakçılığı </w:t>
      </w:r>
      <w:r w:rsidR="00560C90">
        <w:t xml:space="preserve">sektöründe yüzde 6,0 ve </w:t>
      </w:r>
      <w:r w:rsidR="00221DBA" w:rsidRPr="00BB3175">
        <w:t xml:space="preserve">elektrik, </w:t>
      </w:r>
      <w:r w:rsidR="003A3C84" w:rsidRPr="00BB3175">
        <w:t xml:space="preserve">gaz, buhar ve iklimlendirme üretimi </w:t>
      </w:r>
      <w:r w:rsidR="00BB3175" w:rsidRPr="00BB3175">
        <w:t xml:space="preserve">ve dağıtımı </w:t>
      </w:r>
      <w:r w:rsidR="00560C90">
        <w:t>sektöründe yüzde 4,9</w:t>
      </w:r>
      <w:r w:rsidR="003A3C84" w:rsidRPr="00BB3175">
        <w:t xml:space="preserve"> </w:t>
      </w:r>
      <w:r w:rsidR="007E5485" w:rsidRPr="00BB3175">
        <w:t>artış</w:t>
      </w:r>
      <w:r w:rsidR="00AB3195" w:rsidRPr="00BB3175">
        <w:t xml:space="preserve"> yaşanmıştır.</w:t>
      </w:r>
    </w:p>
    <w:p w:rsidR="00153CD8" w:rsidRPr="001A4BBA" w:rsidRDefault="00C04441" w:rsidP="00160C8F">
      <w:pPr>
        <w:jc w:val="both"/>
      </w:pPr>
      <w:r w:rsidRPr="001A4BBA">
        <w:t>Ana sanayi gruplarına</w:t>
      </w:r>
      <w:r w:rsidR="00160C8F" w:rsidRPr="001A4BBA">
        <w:t xml:space="preserve"> bakıldığında</w:t>
      </w:r>
      <w:r w:rsidR="00D72BD4" w:rsidRPr="001A4BBA">
        <w:t>,</w:t>
      </w:r>
      <w:r w:rsidRPr="001A4BBA">
        <w:t xml:space="preserve"> </w:t>
      </w:r>
      <w:r w:rsidR="00FE73C0">
        <w:t xml:space="preserve">ara malı imalatında </w:t>
      </w:r>
      <w:r w:rsidR="00560C90">
        <w:t>yüzde 12,9’lu</w:t>
      </w:r>
      <w:r w:rsidR="009A7AB6" w:rsidRPr="001A4BBA">
        <w:t xml:space="preserve">k, </w:t>
      </w:r>
      <w:r w:rsidR="00560C90" w:rsidRPr="001A4BBA">
        <w:t>dayanıklı tü</w:t>
      </w:r>
      <w:r w:rsidR="00560C90">
        <w:t>ketim malı imalatında yüzde 8,2</w:t>
      </w:r>
      <w:r w:rsidR="00560C90" w:rsidRPr="001A4BBA">
        <w:t>’l</w:t>
      </w:r>
      <w:r w:rsidR="00560C90">
        <w:t xml:space="preserve">ik, </w:t>
      </w:r>
      <w:r w:rsidR="00EE3650" w:rsidRPr="001A4BBA">
        <w:t>se</w:t>
      </w:r>
      <w:r w:rsidR="00560C90">
        <w:t>rmaye malı imalatında yüzde 7,8’li</w:t>
      </w:r>
      <w:r w:rsidR="009A7AB6" w:rsidRPr="001A4BBA">
        <w:t>k,</w:t>
      </w:r>
      <w:r w:rsidR="001A4BBA" w:rsidRPr="001A4BBA">
        <w:t xml:space="preserve"> dayanıksız t</w:t>
      </w:r>
      <w:r w:rsidR="00560C90">
        <w:t>üketim malı imalatında yüzde 6,2</w:t>
      </w:r>
      <w:r w:rsidR="001A4BBA" w:rsidRPr="001A4BBA">
        <w:t>’lik</w:t>
      </w:r>
      <w:r w:rsidR="009A7AB6" w:rsidRPr="001A4BBA">
        <w:t xml:space="preserve"> </w:t>
      </w:r>
      <w:r w:rsidR="001A4BBA" w:rsidRPr="001A4BBA">
        <w:t xml:space="preserve">ve </w:t>
      </w:r>
      <w:r w:rsidR="009A7AB6" w:rsidRPr="001A4BBA">
        <w:t>enerji</w:t>
      </w:r>
      <w:r w:rsidR="00C01FE7" w:rsidRPr="001A4BBA">
        <w:t xml:space="preserve"> imalatında yüzde </w:t>
      </w:r>
      <w:r w:rsidR="00560C90">
        <w:t>2,5’li</w:t>
      </w:r>
      <w:r w:rsidR="00C01FE7" w:rsidRPr="001A4BBA">
        <w:t xml:space="preserve">k </w:t>
      </w:r>
      <w:r w:rsidR="009A7AB6" w:rsidRPr="001A4BBA">
        <w:t>artış</w:t>
      </w:r>
      <w:r w:rsidR="00300B2D" w:rsidRPr="001A4BBA">
        <w:t xml:space="preserve"> </w:t>
      </w:r>
      <w:r w:rsidR="00EF6C32" w:rsidRPr="001A4BBA">
        <w:t xml:space="preserve">gözlenmiştir. </w:t>
      </w:r>
    </w:p>
    <w:p w:rsidR="00C37F57" w:rsidRPr="00943843" w:rsidRDefault="009E5A0A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</w:rPr>
      </w:pPr>
      <w:r w:rsidRPr="00514FB8">
        <w:t>Bir önceki yılın ayn</w:t>
      </w:r>
      <w:r w:rsidR="005619F5">
        <w:t xml:space="preserve"> </w:t>
      </w:r>
      <w:r w:rsidRPr="00514FB8">
        <w:t xml:space="preserve">ı ayına göre değişime teknoloji sınıflarına göre bakıldığında </w:t>
      </w:r>
      <w:r w:rsidR="00740BAC" w:rsidRPr="00514FB8">
        <w:t xml:space="preserve">en yüksek </w:t>
      </w:r>
      <w:r w:rsidR="00571419" w:rsidRPr="00514FB8">
        <w:t>a</w:t>
      </w:r>
      <w:r w:rsidR="00EA4217" w:rsidRPr="00514FB8">
        <w:t>rtışın</w:t>
      </w:r>
      <w:r w:rsidR="00580464" w:rsidRPr="00514FB8">
        <w:t xml:space="preserve"> yüzde </w:t>
      </w:r>
      <w:r w:rsidR="007E3759">
        <w:t>13,2</w:t>
      </w:r>
      <w:r w:rsidR="00FE73C0">
        <w:t>’li</w:t>
      </w:r>
      <w:r w:rsidR="00EA4217" w:rsidRPr="00514FB8">
        <w:t>k artış</w:t>
      </w:r>
      <w:r w:rsidR="00571419" w:rsidRPr="00514FB8">
        <w:t xml:space="preserve"> ile</w:t>
      </w:r>
      <w:r w:rsidR="00522FD8" w:rsidRPr="00514FB8">
        <w:t xml:space="preserve"> </w:t>
      </w:r>
      <w:r w:rsidR="00E854C9" w:rsidRPr="00514FB8">
        <w:t>orta yüksek</w:t>
      </w:r>
      <w:r w:rsidR="00740BAC" w:rsidRPr="00514FB8">
        <w:t xml:space="preserve"> teknolojili üretimde </w:t>
      </w:r>
      <w:r w:rsidR="008A18D9" w:rsidRPr="00514FB8">
        <w:t xml:space="preserve">olduğu </w:t>
      </w:r>
      <w:r w:rsidR="008111C1" w:rsidRPr="00514FB8">
        <w:t>görülmektedir.</w:t>
      </w:r>
      <w:r w:rsidR="00740BAC" w:rsidRPr="00514FB8">
        <w:t xml:space="preserve"> </w:t>
      </w:r>
      <w:r w:rsidR="006A73C7">
        <w:t>Orta yüksek</w:t>
      </w:r>
      <w:r w:rsidR="00571419" w:rsidRPr="00514FB8">
        <w:t xml:space="preserve"> </w:t>
      </w:r>
      <w:r w:rsidR="001D397A" w:rsidRPr="00514FB8">
        <w:t>teknolojili üretimi</w:t>
      </w:r>
      <w:r w:rsidR="00711BB8" w:rsidRPr="00514FB8">
        <w:t>;</w:t>
      </w:r>
      <w:r w:rsidR="00917E12" w:rsidRPr="00917E12">
        <w:t xml:space="preserve"> </w:t>
      </w:r>
      <w:r w:rsidR="00917E12" w:rsidRPr="00514FB8">
        <w:t xml:space="preserve">yüzde </w:t>
      </w:r>
      <w:r w:rsidR="00917E12">
        <w:t>1</w:t>
      </w:r>
      <w:r w:rsidR="007E3759">
        <w:t>2,1</w:t>
      </w:r>
      <w:r w:rsidR="00917E12">
        <w:t>’li</w:t>
      </w:r>
      <w:r w:rsidR="00917E12" w:rsidRPr="00514FB8">
        <w:t xml:space="preserve">k artış ile </w:t>
      </w:r>
      <w:r w:rsidR="007E3759">
        <w:t>orta düşük</w:t>
      </w:r>
      <w:r w:rsidR="00917E12" w:rsidRPr="00514FB8">
        <w:t xml:space="preserve"> teknolojili üretim</w:t>
      </w:r>
      <w:r w:rsidR="00917E12">
        <w:t>,</w:t>
      </w:r>
      <w:r w:rsidR="001D397A" w:rsidRPr="00514FB8">
        <w:t xml:space="preserve"> yüzde </w:t>
      </w:r>
      <w:r w:rsidR="007E3759">
        <w:t>5,8</w:t>
      </w:r>
      <w:r w:rsidR="001A4BBA" w:rsidRPr="00514FB8">
        <w:t>’l</w:t>
      </w:r>
      <w:r w:rsidR="007E3759">
        <w:t>i</w:t>
      </w:r>
      <w:r w:rsidR="00740BAC" w:rsidRPr="00514FB8">
        <w:t xml:space="preserve">k </w:t>
      </w:r>
      <w:r w:rsidR="00EA4217" w:rsidRPr="00514FB8">
        <w:t>artış</w:t>
      </w:r>
      <w:r w:rsidR="00AC40E6" w:rsidRPr="00514FB8">
        <w:t xml:space="preserve"> ile </w:t>
      </w:r>
      <w:r w:rsidR="007E3759">
        <w:t>düşük</w:t>
      </w:r>
      <w:r w:rsidR="00C919B8" w:rsidRPr="00514FB8">
        <w:t xml:space="preserve"> teknolojili üretim</w:t>
      </w:r>
      <w:r w:rsidR="00917E12">
        <w:t xml:space="preserve"> ve</w:t>
      </w:r>
      <w:r w:rsidR="007E3759">
        <w:t xml:space="preserve"> yüzde 5,5’lik artış ile yüksek</w:t>
      </w:r>
      <w:r w:rsidR="00E119B0" w:rsidRPr="00514FB8">
        <w:t xml:space="preserve"> teknolojili üretim</w:t>
      </w:r>
      <w:r w:rsidR="001A4BBA" w:rsidRPr="00514FB8">
        <w:t xml:space="preserve"> </w:t>
      </w:r>
      <w:r w:rsidR="00EA4217" w:rsidRPr="00514FB8">
        <w:t xml:space="preserve">takip etmiştir. </w:t>
      </w:r>
    </w:p>
    <w:p w:rsidR="00737710" w:rsidRPr="00943843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776EB1">
            <w:pPr>
              <w:jc w:val="both"/>
            </w:pPr>
            <w:r w:rsidRPr="004D5C8C">
              <w:rPr>
                <w:b/>
              </w:rPr>
              <w:lastRenderedPageBreak/>
              <w:t>Tablo 1: Sanayi Ü</w:t>
            </w:r>
            <w:r w:rsidR="006A73C7">
              <w:rPr>
                <w:b/>
              </w:rPr>
              <w:t>retim</w:t>
            </w:r>
            <w:r w:rsidR="007E3759">
              <w:rPr>
                <w:b/>
              </w:rPr>
              <w:t xml:space="preserve"> Endeksi Büyüme Oranları,  Aralık</w:t>
            </w:r>
            <w:r w:rsidR="00222AC3">
              <w:rPr>
                <w:b/>
              </w:rPr>
              <w:t xml:space="preserve"> 2020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592115" w:rsidP="00D42512">
            <w:pPr>
              <w:jc w:val="center"/>
            </w:pPr>
            <w:r>
              <w:t>1</w:t>
            </w:r>
            <w:r w:rsidR="007E3759">
              <w:t>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E3759" w:rsidP="00875C18">
            <w:pPr>
              <w:jc w:val="center"/>
            </w:pPr>
            <w:r>
              <w:t>12,9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E3759" w:rsidP="00D42512">
            <w:pPr>
              <w:jc w:val="center"/>
            </w:pPr>
            <w: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E3759" w:rsidP="00875C18">
            <w:pPr>
              <w:jc w:val="center"/>
            </w:pPr>
            <w:r>
              <w:t>8</w:t>
            </w:r>
            <w:r w:rsidR="006A73C7">
              <w:t>,2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E3759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3E0968" w:rsidP="00875C18">
            <w:r>
              <w:t xml:space="preserve">             </w:t>
            </w:r>
            <w:r w:rsidR="009C3129">
              <w:t xml:space="preserve"> </w:t>
            </w:r>
            <w:r w:rsidR="007E3759">
              <w:t xml:space="preserve">  6,2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E3759" w:rsidP="00D42512">
            <w:pPr>
              <w:jc w:val="center"/>
            </w:pPr>
            <w: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E3759" w:rsidP="001727DA">
            <w:pPr>
              <w:jc w:val="center"/>
            </w:pPr>
            <w:r>
              <w:t>2,5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E3759" w:rsidP="00D42512">
            <w:pPr>
              <w:jc w:val="center"/>
            </w:pPr>
            <w:r>
              <w:t>1,9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E3759" w:rsidP="00927726">
            <w:pPr>
              <w:jc w:val="center"/>
            </w:pPr>
            <w:r>
              <w:t>7,8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A73C7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E3759" w:rsidP="007E37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73C7">
              <w:rPr>
                <w:b/>
              </w:rPr>
              <w:t>,0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B20772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7E3759">
              <w:rPr>
                <w:b/>
              </w:rPr>
              <w:t>Aralık</w:t>
            </w:r>
            <w:r w:rsidR="00B20772">
              <w:rPr>
                <w:b/>
              </w:rPr>
              <w:t xml:space="preserve"> </w:t>
            </w:r>
            <w:r w:rsidR="00222AC3">
              <w:rPr>
                <w:b/>
              </w:rPr>
              <w:t>2020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E3759" w:rsidP="00D42512">
            <w:pPr>
              <w:jc w:val="center"/>
            </w:pPr>
            <w:r>
              <w:t>3,5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E3759" w:rsidP="00D42512">
            <w:pPr>
              <w:jc w:val="center"/>
            </w:pPr>
            <w:r>
              <w:t>6,0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E3759" w:rsidP="00D42512">
            <w:pPr>
              <w:jc w:val="center"/>
            </w:pPr>
            <w:r>
              <w:t>1,4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E3759" w:rsidP="00D42512">
            <w:pPr>
              <w:jc w:val="center"/>
            </w:pPr>
            <w:r>
              <w:t>9,5</w:t>
            </w:r>
          </w:p>
        </w:tc>
      </w:tr>
      <w:tr w:rsidR="007E3759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7E3759" w:rsidRPr="004D5C8C" w:rsidRDefault="007E3759" w:rsidP="007E3759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7E3759" w:rsidRPr="004D5C8C" w:rsidRDefault="007E3759" w:rsidP="007E3759">
            <w:pPr>
              <w:jc w:val="center"/>
            </w:pPr>
            <w:r>
              <w:t>-1,4</w:t>
            </w:r>
          </w:p>
        </w:tc>
        <w:tc>
          <w:tcPr>
            <w:tcW w:w="2067" w:type="dxa"/>
            <w:noWrap/>
            <w:vAlign w:val="center"/>
            <w:hideMark/>
          </w:tcPr>
          <w:p w:rsidR="007E3759" w:rsidRPr="004D5C8C" w:rsidRDefault="00221DBA" w:rsidP="007E3759">
            <w:pPr>
              <w:jc w:val="center"/>
            </w:pPr>
            <w:r>
              <w:t>4,9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166B0" w:rsidP="00875C18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E7CFC">
              <w:rPr>
                <w:b/>
              </w:rPr>
              <w:t xml:space="preserve"> </w:t>
            </w:r>
            <w:r w:rsidR="006A73C7"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7E3759" w:rsidP="00D425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73C7">
              <w:rPr>
                <w:b/>
              </w:rPr>
              <w:t>,0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776EB1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7E3759">
              <w:rPr>
                <w:b/>
              </w:rPr>
              <w:t>Aralık</w:t>
            </w:r>
            <w:r w:rsidR="003027FC">
              <w:rPr>
                <w:b/>
              </w:rPr>
              <w:t xml:space="preserve"> </w:t>
            </w:r>
            <w:r w:rsidR="00222AC3">
              <w:rPr>
                <w:b/>
              </w:rPr>
              <w:t>2020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E3759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E3759" w:rsidP="00D02B7A">
            <w:pPr>
              <w:jc w:val="center"/>
            </w:pPr>
            <w:r>
              <w:t>5,8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E3759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E3759" w:rsidP="00D42512">
            <w:pPr>
              <w:jc w:val="center"/>
            </w:pPr>
            <w:r>
              <w:t>12,1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E7CFC" w:rsidP="00875C18">
            <w:r>
              <w:t xml:space="preserve">              </w:t>
            </w:r>
            <w:r w:rsidR="00875C18">
              <w:t xml:space="preserve"> </w:t>
            </w:r>
            <w:r>
              <w:t xml:space="preserve"> </w:t>
            </w:r>
            <w:r w:rsidR="007E3759">
              <w:t xml:space="preserve"> 2,1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E7CFC" w:rsidP="00927726">
            <w:r>
              <w:t xml:space="preserve">              </w:t>
            </w:r>
            <w:r w:rsidR="007E3759">
              <w:t xml:space="preserve"> 13,2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E3759" w:rsidP="00D42512">
            <w:pPr>
              <w:jc w:val="center"/>
            </w:pPr>
            <w:r>
              <w:t>-4,5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E3759" w:rsidP="00D42512">
            <w:pPr>
              <w:jc w:val="center"/>
            </w:pPr>
            <w:r>
              <w:t>5,5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6A73C7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Default="007E3759" w:rsidP="00D425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73C7">
              <w:rPr>
                <w:b/>
              </w:rPr>
              <w:t>,0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30" w:rsidRDefault="009B2A30" w:rsidP="00C04441">
      <w:pPr>
        <w:spacing w:after="0" w:line="240" w:lineRule="auto"/>
      </w:pPr>
      <w:r>
        <w:separator/>
      </w:r>
    </w:p>
  </w:endnote>
  <w:endnote w:type="continuationSeparator" w:id="0">
    <w:p w:rsidR="009B2A30" w:rsidRDefault="009B2A30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250252"/>
      <w:docPartObj>
        <w:docPartGallery w:val="Page Numbers (Bottom of Page)"/>
        <w:docPartUnique/>
      </w:docPartObj>
    </w:sdtPr>
    <w:sdtContent>
      <w:p w:rsidR="009307EE" w:rsidRDefault="009307E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07EE" w:rsidRDefault="009307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30" w:rsidRDefault="009B2A30" w:rsidP="00C04441">
      <w:pPr>
        <w:spacing w:after="0" w:line="240" w:lineRule="auto"/>
      </w:pPr>
      <w:r>
        <w:separator/>
      </w:r>
    </w:p>
  </w:footnote>
  <w:footnote w:type="continuationSeparator" w:id="0">
    <w:p w:rsidR="009B2A30" w:rsidRDefault="009B2A30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3F1F"/>
    <w:rsid w:val="000074D8"/>
    <w:rsid w:val="00020E22"/>
    <w:rsid w:val="00024FA4"/>
    <w:rsid w:val="00026B0C"/>
    <w:rsid w:val="000354BD"/>
    <w:rsid w:val="0003703C"/>
    <w:rsid w:val="000449DE"/>
    <w:rsid w:val="00062D7C"/>
    <w:rsid w:val="00063AA0"/>
    <w:rsid w:val="00067493"/>
    <w:rsid w:val="000701FD"/>
    <w:rsid w:val="00070A53"/>
    <w:rsid w:val="00074344"/>
    <w:rsid w:val="00076CA2"/>
    <w:rsid w:val="000A2533"/>
    <w:rsid w:val="000A302E"/>
    <w:rsid w:val="000A6F00"/>
    <w:rsid w:val="000B2F05"/>
    <w:rsid w:val="000B7EA9"/>
    <w:rsid w:val="000C1E62"/>
    <w:rsid w:val="000C4540"/>
    <w:rsid w:val="000D18BE"/>
    <w:rsid w:val="000F2907"/>
    <w:rsid w:val="0010093A"/>
    <w:rsid w:val="001037FB"/>
    <w:rsid w:val="00103DB0"/>
    <w:rsid w:val="0010522E"/>
    <w:rsid w:val="00106FDD"/>
    <w:rsid w:val="00110D11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482D"/>
    <w:rsid w:val="00176B8F"/>
    <w:rsid w:val="00176D24"/>
    <w:rsid w:val="0019156C"/>
    <w:rsid w:val="001A034E"/>
    <w:rsid w:val="001A10CB"/>
    <w:rsid w:val="001A1146"/>
    <w:rsid w:val="001A1A85"/>
    <w:rsid w:val="001A4BBA"/>
    <w:rsid w:val="001A5BD1"/>
    <w:rsid w:val="001A7466"/>
    <w:rsid w:val="001B0F96"/>
    <w:rsid w:val="001C27AD"/>
    <w:rsid w:val="001C74F4"/>
    <w:rsid w:val="001D08EA"/>
    <w:rsid w:val="001D0F6E"/>
    <w:rsid w:val="001D397A"/>
    <w:rsid w:val="001D5A06"/>
    <w:rsid w:val="001D79A4"/>
    <w:rsid w:val="001E11A2"/>
    <w:rsid w:val="001E1BF7"/>
    <w:rsid w:val="001E5A63"/>
    <w:rsid w:val="001F6DAB"/>
    <w:rsid w:val="001F7633"/>
    <w:rsid w:val="00201049"/>
    <w:rsid w:val="0020633D"/>
    <w:rsid w:val="0021363C"/>
    <w:rsid w:val="002145C8"/>
    <w:rsid w:val="00221DBA"/>
    <w:rsid w:val="00222211"/>
    <w:rsid w:val="00222AC3"/>
    <w:rsid w:val="00226AA7"/>
    <w:rsid w:val="00232DD2"/>
    <w:rsid w:val="00233BD5"/>
    <w:rsid w:val="00233F90"/>
    <w:rsid w:val="00235667"/>
    <w:rsid w:val="00246284"/>
    <w:rsid w:val="002466C0"/>
    <w:rsid w:val="00247016"/>
    <w:rsid w:val="00254EF5"/>
    <w:rsid w:val="002625C7"/>
    <w:rsid w:val="00263D6B"/>
    <w:rsid w:val="00265754"/>
    <w:rsid w:val="0028186A"/>
    <w:rsid w:val="0029304E"/>
    <w:rsid w:val="002B2CC6"/>
    <w:rsid w:val="002B428E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0B2D"/>
    <w:rsid w:val="003027FC"/>
    <w:rsid w:val="00303320"/>
    <w:rsid w:val="00315182"/>
    <w:rsid w:val="00317C4E"/>
    <w:rsid w:val="003202E0"/>
    <w:rsid w:val="00320905"/>
    <w:rsid w:val="00321446"/>
    <w:rsid w:val="00321B60"/>
    <w:rsid w:val="00321C90"/>
    <w:rsid w:val="00322DEB"/>
    <w:rsid w:val="003339FA"/>
    <w:rsid w:val="00340005"/>
    <w:rsid w:val="00340BEB"/>
    <w:rsid w:val="00341D2E"/>
    <w:rsid w:val="003455A1"/>
    <w:rsid w:val="00350144"/>
    <w:rsid w:val="00351107"/>
    <w:rsid w:val="00351561"/>
    <w:rsid w:val="00354CE2"/>
    <w:rsid w:val="00356BA7"/>
    <w:rsid w:val="00357954"/>
    <w:rsid w:val="00357F2E"/>
    <w:rsid w:val="003641B3"/>
    <w:rsid w:val="0036425F"/>
    <w:rsid w:val="00370B3E"/>
    <w:rsid w:val="003723C5"/>
    <w:rsid w:val="003733E7"/>
    <w:rsid w:val="00375254"/>
    <w:rsid w:val="00377B30"/>
    <w:rsid w:val="00387778"/>
    <w:rsid w:val="00390E27"/>
    <w:rsid w:val="003A3C84"/>
    <w:rsid w:val="003A5037"/>
    <w:rsid w:val="003A57CB"/>
    <w:rsid w:val="003D15AD"/>
    <w:rsid w:val="003D2889"/>
    <w:rsid w:val="003D666D"/>
    <w:rsid w:val="003E0968"/>
    <w:rsid w:val="003F217B"/>
    <w:rsid w:val="003F266E"/>
    <w:rsid w:val="003F2715"/>
    <w:rsid w:val="00401D53"/>
    <w:rsid w:val="0040425D"/>
    <w:rsid w:val="0040755D"/>
    <w:rsid w:val="00407EC9"/>
    <w:rsid w:val="0041453F"/>
    <w:rsid w:val="00417C64"/>
    <w:rsid w:val="00424CC0"/>
    <w:rsid w:val="00425CC3"/>
    <w:rsid w:val="0042625C"/>
    <w:rsid w:val="0042740D"/>
    <w:rsid w:val="00431AD9"/>
    <w:rsid w:val="00432DF5"/>
    <w:rsid w:val="0043515F"/>
    <w:rsid w:val="00453015"/>
    <w:rsid w:val="004534A2"/>
    <w:rsid w:val="00460688"/>
    <w:rsid w:val="00463872"/>
    <w:rsid w:val="004641F9"/>
    <w:rsid w:val="00475829"/>
    <w:rsid w:val="00476E75"/>
    <w:rsid w:val="00482E70"/>
    <w:rsid w:val="00485C64"/>
    <w:rsid w:val="00486298"/>
    <w:rsid w:val="00491680"/>
    <w:rsid w:val="00492DFF"/>
    <w:rsid w:val="004B5ECD"/>
    <w:rsid w:val="004B6888"/>
    <w:rsid w:val="004C2C40"/>
    <w:rsid w:val="004C3440"/>
    <w:rsid w:val="004C54EA"/>
    <w:rsid w:val="004C7439"/>
    <w:rsid w:val="004D4AD5"/>
    <w:rsid w:val="004D4B7F"/>
    <w:rsid w:val="004D5C8C"/>
    <w:rsid w:val="004E19A4"/>
    <w:rsid w:val="004E28DD"/>
    <w:rsid w:val="004F7FA9"/>
    <w:rsid w:val="005105C7"/>
    <w:rsid w:val="00514FB8"/>
    <w:rsid w:val="00517288"/>
    <w:rsid w:val="00521423"/>
    <w:rsid w:val="00522A6C"/>
    <w:rsid w:val="00522FD8"/>
    <w:rsid w:val="005405F5"/>
    <w:rsid w:val="00542B86"/>
    <w:rsid w:val="00544D61"/>
    <w:rsid w:val="00545ADF"/>
    <w:rsid w:val="00550C5B"/>
    <w:rsid w:val="005531C8"/>
    <w:rsid w:val="00560C90"/>
    <w:rsid w:val="00560DE5"/>
    <w:rsid w:val="00561558"/>
    <w:rsid w:val="005619F5"/>
    <w:rsid w:val="00565DB5"/>
    <w:rsid w:val="00571419"/>
    <w:rsid w:val="00574C38"/>
    <w:rsid w:val="0057513F"/>
    <w:rsid w:val="005758F2"/>
    <w:rsid w:val="0057797A"/>
    <w:rsid w:val="00580464"/>
    <w:rsid w:val="00583547"/>
    <w:rsid w:val="00586B32"/>
    <w:rsid w:val="0059020E"/>
    <w:rsid w:val="00592115"/>
    <w:rsid w:val="00593476"/>
    <w:rsid w:val="00594446"/>
    <w:rsid w:val="00596375"/>
    <w:rsid w:val="005A54BA"/>
    <w:rsid w:val="005B21CA"/>
    <w:rsid w:val="005B282C"/>
    <w:rsid w:val="005B2B26"/>
    <w:rsid w:val="005B7556"/>
    <w:rsid w:val="005B7F6F"/>
    <w:rsid w:val="005C53F8"/>
    <w:rsid w:val="005D165B"/>
    <w:rsid w:val="005D282B"/>
    <w:rsid w:val="005E2D3B"/>
    <w:rsid w:val="006005B3"/>
    <w:rsid w:val="0060070F"/>
    <w:rsid w:val="006020BD"/>
    <w:rsid w:val="00604091"/>
    <w:rsid w:val="00605830"/>
    <w:rsid w:val="00610306"/>
    <w:rsid w:val="00613AC7"/>
    <w:rsid w:val="006154C9"/>
    <w:rsid w:val="00616BC4"/>
    <w:rsid w:val="00625E9B"/>
    <w:rsid w:val="00640824"/>
    <w:rsid w:val="00643409"/>
    <w:rsid w:val="0065024A"/>
    <w:rsid w:val="00655F1B"/>
    <w:rsid w:val="00664BE1"/>
    <w:rsid w:val="0066694D"/>
    <w:rsid w:val="00673884"/>
    <w:rsid w:val="006760A0"/>
    <w:rsid w:val="00677B0D"/>
    <w:rsid w:val="00683347"/>
    <w:rsid w:val="00685E8C"/>
    <w:rsid w:val="00686771"/>
    <w:rsid w:val="006964DB"/>
    <w:rsid w:val="006A23C6"/>
    <w:rsid w:val="006A3F12"/>
    <w:rsid w:val="006A458B"/>
    <w:rsid w:val="006A4591"/>
    <w:rsid w:val="006A73C7"/>
    <w:rsid w:val="006B2306"/>
    <w:rsid w:val="006B2769"/>
    <w:rsid w:val="006B6AEA"/>
    <w:rsid w:val="006D14DC"/>
    <w:rsid w:val="006D41B5"/>
    <w:rsid w:val="006E278D"/>
    <w:rsid w:val="006E318F"/>
    <w:rsid w:val="006E6593"/>
    <w:rsid w:val="006E77D7"/>
    <w:rsid w:val="006F0E9D"/>
    <w:rsid w:val="0070186C"/>
    <w:rsid w:val="00705EF5"/>
    <w:rsid w:val="00711BB8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76EB1"/>
    <w:rsid w:val="00781C4C"/>
    <w:rsid w:val="0078202D"/>
    <w:rsid w:val="007854E6"/>
    <w:rsid w:val="007A659A"/>
    <w:rsid w:val="007A6AB2"/>
    <w:rsid w:val="007B00EA"/>
    <w:rsid w:val="007B58E6"/>
    <w:rsid w:val="007B7A94"/>
    <w:rsid w:val="007C02FB"/>
    <w:rsid w:val="007C5CE3"/>
    <w:rsid w:val="007D378F"/>
    <w:rsid w:val="007E3759"/>
    <w:rsid w:val="007E5485"/>
    <w:rsid w:val="007E5800"/>
    <w:rsid w:val="007E6746"/>
    <w:rsid w:val="007F5981"/>
    <w:rsid w:val="007F7AF1"/>
    <w:rsid w:val="00801E07"/>
    <w:rsid w:val="00802F1A"/>
    <w:rsid w:val="00806C2E"/>
    <w:rsid w:val="008111C1"/>
    <w:rsid w:val="00817D11"/>
    <w:rsid w:val="00822079"/>
    <w:rsid w:val="008220A5"/>
    <w:rsid w:val="00836230"/>
    <w:rsid w:val="00840A90"/>
    <w:rsid w:val="0084275E"/>
    <w:rsid w:val="00863219"/>
    <w:rsid w:val="00867BDC"/>
    <w:rsid w:val="008708E2"/>
    <w:rsid w:val="00875C18"/>
    <w:rsid w:val="008919E1"/>
    <w:rsid w:val="008942D8"/>
    <w:rsid w:val="00895CA1"/>
    <w:rsid w:val="00896B24"/>
    <w:rsid w:val="008A18D9"/>
    <w:rsid w:val="008A5495"/>
    <w:rsid w:val="008A575D"/>
    <w:rsid w:val="008A5BC8"/>
    <w:rsid w:val="008A62B9"/>
    <w:rsid w:val="008A7788"/>
    <w:rsid w:val="008C245F"/>
    <w:rsid w:val="008C2C15"/>
    <w:rsid w:val="008C3002"/>
    <w:rsid w:val="008C7F9E"/>
    <w:rsid w:val="008D1077"/>
    <w:rsid w:val="008D21E1"/>
    <w:rsid w:val="008D6E31"/>
    <w:rsid w:val="008E2310"/>
    <w:rsid w:val="008E2A38"/>
    <w:rsid w:val="008E7A90"/>
    <w:rsid w:val="0090264F"/>
    <w:rsid w:val="0090458B"/>
    <w:rsid w:val="00907E0D"/>
    <w:rsid w:val="009166B0"/>
    <w:rsid w:val="00917E12"/>
    <w:rsid w:val="00917F25"/>
    <w:rsid w:val="009230B4"/>
    <w:rsid w:val="00923FD3"/>
    <w:rsid w:val="009255A2"/>
    <w:rsid w:val="0092656D"/>
    <w:rsid w:val="00927726"/>
    <w:rsid w:val="00930478"/>
    <w:rsid w:val="009307EE"/>
    <w:rsid w:val="00931268"/>
    <w:rsid w:val="009319B5"/>
    <w:rsid w:val="00932909"/>
    <w:rsid w:val="00935B34"/>
    <w:rsid w:val="009367FC"/>
    <w:rsid w:val="009373A8"/>
    <w:rsid w:val="0094162A"/>
    <w:rsid w:val="00943843"/>
    <w:rsid w:val="00952952"/>
    <w:rsid w:val="009654D6"/>
    <w:rsid w:val="009803B3"/>
    <w:rsid w:val="00981B3B"/>
    <w:rsid w:val="00983006"/>
    <w:rsid w:val="009858B1"/>
    <w:rsid w:val="009A003A"/>
    <w:rsid w:val="009A055C"/>
    <w:rsid w:val="009A05F3"/>
    <w:rsid w:val="009A603A"/>
    <w:rsid w:val="009A6E86"/>
    <w:rsid w:val="009A7AB6"/>
    <w:rsid w:val="009B13DC"/>
    <w:rsid w:val="009B2A30"/>
    <w:rsid w:val="009B404C"/>
    <w:rsid w:val="009B45CA"/>
    <w:rsid w:val="009C3129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0BCE"/>
    <w:rsid w:val="00A722F2"/>
    <w:rsid w:val="00A77365"/>
    <w:rsid w:val="00A83FD3"/>
    <w:rsid w:val="00A87C31"/>
    <w:rsid w:val="00AA50D7"/>
    <w:rsid w:val="00AB0851"/>
    <w:rsid w:val="00AB3195"/>
    <w:rsid w:val="00AB519D"/>
    <w:rsid w:val="00AB7627"/>
    <w:rsid w:val="00AC3550"/>
    <w:rsid w:val="00AC40E6"/>
    <w:rsid w:val="00AD1098"/>
    <w:rsid w:val="00AD2065"/>
    <w:rsid w:val="00AD7BE4"/>
    <w:rsid w:val="00AE2EF8"/>
    <w:rsid w:val="00AE7891"/>
    <w:rsid w:val="00AF39F2"/>
    <w:rsid w:val="00B00B37"/>
    <w:rsid w:val="00B048A6"/>
    <w:rsid w:val="00B0776B"/>
    <w:rsid w:val="00B1169A"/>
    <w:rsid w:val="00B12EFF"/>
    <w:rsid w:val="00B20772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769C4"/>
    <w:rsid w:val="00B77DFB"/>
    <w:rsid w:val="00B84FE9"/>
    <w:rsid w:val="00B85187"/>
    <w:rsid w:val="00B86368"/>
    <w:rsid w:val="00B8689F"/>
    <w:rsid w:val="00B94EA9"/>
    <w:rsid w:val="00B96B22"/>
    <w:rsid w:val="00B9753F"/>
    <w:rsid w:val="00BA000A"/>
    <w:rsid w:val="00BA1F9C"/>
    <w:rsid w:val="00BA29CF"/>
    <w:rsid w:val="00BA4DC0"/>
    <w:rsid w:val="00BB1094"/>
    <w:rsid w:val="00BB20B4"/>
    <w:rsid w:val="00BB3175"/>
    <w:rsid w:val="00BC294E"/>
    <w:rsid w:val="00BC32E0"/>
    <w:rsid w:val="00BC5F10"/>
    <w:rsid w:val="00BC631C"/>
    <w:rsid w:val="00BE3F29"/>
    <w:rsid w:val="00BE7561"/>
    <w:rsid w:val="00BF1C98"/>
    <w:rsid w:val="00BF4755"/>
    <w:rsid w:val="00C01454"/>
    <w:rsid w:val="00C01FE7"/>
    <w:rsid w:val="00C04441"/>
    <w:rsid w:val="00C05793"/>
    <w:rsid w:val="00C061D9"/>
    <w:rsid w:val="00C06FCF"/>
    <w:rsid w:val="00C144CC"/>
    <w:rsid w:val="00C1615C"/>
    <w:rsid w:val="00C21D8B"/>
    <w:rsid w:val="00C2635C"/>
    <w:rsid w:val="00C30EBC"/>
    <w:rsid w:val="00C3664D"/>
    <w:rsid w:val="00C37F57"/>
    <w:rsid w:val="00C41AFE"/>
    <w:rsid w:val="00C51526"/>
    <w:rsid w:val="00C53C49"/>
    <w:rsid w:val="00C55489"/>
    <w:rsid w:val="00C56AFB"/>
    <w:rsid w:val="00C72F90"/>
    <w:rsid w:val="00C73ED9"/>
    <w:rsid w:val="00C75496"/>
    <w:rsid w:val="00C85372"/>
    <w:rsid w:val="00C87DFE"/>
    <w:rsid w:val="00C919B8"/>
    <w:rsid w:val="00C97AFA"/>
    <w:rsid w:val="00CA02F3"/>
    <w:rsid w:val="00CB3D4E"/>
    <w:rsid w:val="00CC7D5F"/>
    <w:rsid w:val="00CD5B4A"/>
    <w:rsid w:val="00CE1205"/>
    <w:rsid w:val="00CE4BAC"/>
    <w:rsid w:val="00CE5E9C"/>
    <w:rsid w:val="00CF56CB"/>
    <w:rsid w:val="00D0085D"/>
    <w:rsid w:val="00D01318"/>
    <w:rsid w:val="00D017B9"/>
    <w:rsid w:val="00D02B7A"/>
    <w:rsid w:val="00D03381"/>
    <w:rsid w:val="00D100BC"/>
    <w:rsid w:val="00D12765"/>
    <w:rsid w:val="00D16216"/>
    <w:rsid w:val="00D21190"/>
    <w:rsid w:val="00D2299D"/>
    <w:rsid w:val="00D23355"/>
    <w:rsid w:val="00D26126"/>
    <w:rsid w:val="00D26ADA"/>
    <w:rsid w:val="00D35BE1"/>
    <w:rsid w:val="00D41EF3"/>
    <w:rsid w:val="00D42512"/>
    <w:rsid w:val="00D465B9"/>
    <w:rsid w:val="00D559DA"/>
    <w:rsid w:val="00D60CCE"/>
    <w:rsid w:val="00D647E9"/>
    <w:rsid w:val="00D70C2F"/>
    <w:rsid w:val="00D72BD4"/>
    <w:rsid w:val="00D930AD"/>
    <w:rsid w:val="00D96AEB"/>
    <w:rsid w:val="00DA15C9"/>
    <w:rsid w:val="00DB1389"/>
    <w:rsid w:val="00DB1F8E"/>
    <w:rsid w:val="00DC5FDC"/>
    <w:rsid w:val="00DC7A17"/>
    <w:rsid w:val="00DD4D4B"/>
    <w:rsid w:val="00DD7B16"/>
    <w:rsid w:val="00DE7934"/>
    <w:rsid w:val="00DE7CFC"/>
    <w:rsid w:val="00DF0277"/>
    <w:rsid w:val="00E01DDB"/>
    <w:rsid w:val="00E119B0"/>
    <w:rsid w:val="00E1280A"/>
    <w:rsid w:val="00E132B6"/>
    <w:rsid w:val="00E137FD"/>
    <w:rsid w:val="00E20DB4"/>
    <w:rsid w:val="00E26AB7"/>
    <w:rsid w:val="00E33EB8"/>
    <w:rsid w:val="00E36627"/>
    <w:rsid w:val="00E37D6E"/>
    <w:rsid w:val="00E40945"/>
    <w:rsid w:val="00E42D35"/>
    <w:rsid w:val="00E42F2F"/>
    <w:rsid w:val="00E46DD4"/>
    <w:rsid w:val="00E4781E"/>
    <w:rsid w:val="00E51AB6"/>
    <w:rsid w:val="00E67764"/>
    <w:rsid w:val="00E71B03"/>
    <w:rsid w:val="00E7657B"/>
    <w:rsid w:val="00E828B5"/>
    <w:rsid w:val="00E854C9"/>
    <w:rsid w:val="00E925B8"/>
    <w:rsid w:val="00E96AA0"/>
    <w:rsid w:val="00EA4217"/>
    <w:rsid w:val="00EA4257"/>
    <w:rsid w:val="00EA5EC6"/>
    <w:rsid w:val="00EB0949"/>
    <w:rsid w:val="00EB39CA"/>
    <w:rsid w:val="00EB677A"/>
    <w:rsid w:val="00EC4AA2"/>
    <w:rsid w:val="00EC4EB8"/>
    <w:rsid w:val="00EC72C1"/>
    <w:rsid w:val="00EC7CD7"/>
    <w:rsid w:val="00ED3AEB"/>
    <w:rsid w:val="00ED4544"/>
    <w:rsid w:val="00ED46EA"/>
    <w:rsid w:val="00EE0B38"/>
    <w:rsid w:val="00EE2F80"/>
    <w:rsid w:val="00EE3650"/>
    <w:rsid w:val="00EE4F69"/>
    <w:rsid w:val="00EE565C"/>
    <w:rsid w:val="00EE5ABD"/>
    <w:rsid w:val="00EF4E45"/>
    <w:rsid w:val="00EF621F"/>
    <w:rsid w:val="00EF6C32"/>
    <w:rsid w:val="00F061D6"/>
    <w:rsid w:val="00F111FE"/>
    <w:rsid w:val="00F251EC"/>
    <w:rsid w:val="00F27E6F"/>
    <w:rsid w:val="00F31C9D"/>
    <w:rsid w:val="00F342CF"/>
    <w:rsid w:val="00F37AA8"/>
    <w:rsid w:val="00F456E2"/>
    <w:rsid w:val="00F51FF9"/>
    <w:rsid w:val="00F5758A"/>
    <w:rsid w:val="00F74D4C"/>
    <w:rsid w:val="00F8346F"/>
    <w:rsid w:val="00F877F5"/>
    <w:rsid w:val="00F9779F"/>
    <w:rsid w:val="00F97C6A"/>
    <w:rsid w:val="00FA16CB"/>
    <w:rsid w:val="00FA6569"/>
    <w:rsid w:val="00FC2597"/>
    <w:rsid w:val="00FD0F6A"/>
    <w:rsid w:val="00FE2D1A"/>
    <w:rsid w:val="00FE59CF"/>
    <w:rsid w:val="00FE6620"/>
    <w:rsid w:val="00FE73C0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81A6-9116-4C4F-B3CC-AF9305DC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93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7EE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S&#220;E_Kas&#305;m_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S&#220;E_Kas&#305;m_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272300373837497E-2"/>
          <c:y val="6.5289442986293383E-2"/>
          <c:w val="0.91447888548213496"/>
          <c:h val="0.6832151058290743"/>
        </c:manualLayout>
      </c:layout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2019(r)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70370370370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497628288055198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981759616306164E-17"/>
                  <c:y val="-6.665408262323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498000103804515E-3"/>
                  <c:y val="-0.10013932333800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5.631674037320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248162924986847E-3"/>
                  <c:y val="3.456387300902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2.7777777777777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648984250141469E-16"/>
                  <c:y val="2.7777777777777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110</c:v>
                </c:pt>
                <c:pt idx="1">
                  <c:v>111.6</c:v>
                </c:pt>
                <c:pt idx="2">
                  <c:v>114.4</c:v>
                </c:pt>
                <c:pt idx="3">
                  <c:v>113.8</c:v>
                </c:pt>
                <c:pt idx="4">
                  <c:v>115.1</c:v>
                </c:pt>
                <c:pt idx="5">
                  <c:v>109.3</c:v>
                </c:pt>
                <c:pt idx="6">
                  <c:v>114</c:v>
                </c:pt>
                <c:pt idx="7">
                  <c:v>111.3</c:v>
                </c:pt>
                <c:pt idx="8">
                  <c:v>115.4</c:v>
                </c:pt>
                <c:pt idx="9">
                  <c:v>114.6</c:v>
                </c:pt>
                <c:pt idx="10">
                  <c:v>115.8</c:v>
                </c:pt>
                <c:pt idx="11">
                  <c:v>118.4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2020(r)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43E-2"/>
                  <c:y val="-7.4074074074074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48814144027597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5.986813720202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7248162924987625E-3"/>
                  <c:y val="-4.9530794952000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4.629629629629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648984250141469E-16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118.1</c:v>
                </c:pt>
                <c:pt idx="1">
                  <c:v>120.6</c:v>
                </c:pt>
                <c:pt idx="2">
                  <c:v>112.8</c:v>
                </c:pt>
                <c:pt idx="3">
                  <c:v>78.900000000000006</c:v>
                </c:pt>
                <c:pt idx="4">
                  <c:v>93.1</c:v>
                </c:pt>
                <c:pt idx="5">
                  <c:v>109.7</c:v>
                </c:pt>
                <c:pt idx="6">
                  <c:v>118.9</c:v>
                </c:pt>
                <c:pt idx="7">
                  <c:v>123</c:v>
                </c:pt>
                <c:pt idx="8">
                  <c:v>125.1</c:v>
                </c:pt>
                <c:pt idx="9">
                  <c:v>126.6</c:v>
                </c:pt>
                <c:pt idx="10">
                  <c:v>128.19999999999999</c:v>
                </c:pt>
                <c:pt idx="11">
                  <c:v>129.9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7404976"/>
        <c:axId val="807400624"/>
      </c:lineChart>
      <c:catAx>
        <c:axId val="80740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7400624"/>
        <c:crosses val="autoZero"/>
        <c:auto val="1"/>
        <c:lblAlgn val="ctr"/>
        <c:lblOffset val="100"/>
        <c:noMultiLvlLbl val="0"/>
      </c:catAx>
      <c:valAx>
        <c:axId val="807400624"/>
        <c:scaling>
          <c:orientation val="minMax"/>
          <c:min val="60"/>
        </c:scaling>
        <c:delete val="0"/>
        <c:axPos val="l"/>
        <c:numFmt formatCode="0.0" sourceLinked="1"/>
        <c:majorTickMark val="out"/>
        <c:minorTickMark val="none"/>
        <c:tickLblPos val="nextTo"/>
        <c:crossAx val="807404976"/>
        <c:crosses val="autoZero"/>
        <c:crossBetween val="between"/>
        <c:majorUnit val="1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130.6</c:v>
                </c:pt>
                <c:pt idx="1">
                  <c:v>117.6</c:v>
                </c:pt>
                <c:pt idx="2">
                  <c:v>128.30000000000001</c:v>
                </c:pt>
                <c:pt idx="3" formatCode="General">
                  <c:v>139.80000000000001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7408240"/>
        <c:axId val="807408784"/>
      </c:lineChart>
      <c:catAx>
        <c:axId val="80740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7408784"/>
        <c:crosses val="autoZero"/>
        <c:auto val="1"/>
        <c:lblAlgn val="ctr"/>
        <c:lblOffset val="100"/>
        <c:noMultiLvlLbl val="0"/>
      </c:catAx>
      <c:valAx>
        <c:axId val="8074087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8074082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CBED-48C7-4EDE-A5F9-5DA755F4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 Akyildiz</cp:lastModifiedBy>
  <cp:revision>249</cp:revision>
  <cp:lastPrinted>2021-01-13T09:45:00Z</cp:lastPrinted>
  <dcterms:created xsi:type="dcterms:W3CDTF">2019-01-22T14:10:00Z</dcterms:created>
  <dcterms:modified xsi:type="dcterms:W3CDTF">2021-02-24T10:54:00Z</dcterms:modified>
</cp:coreProperties>
</file>