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5"/>
        <w:gridCol w:w="3713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CE155A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2021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521C6A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521C6A" w:rsidP="002748F0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22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Şubat</w:t>
            </w:r>
            <w:r w:rsidR="00896EEC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CE155A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2021</w:t>
            </w:r>
            <w:r w:rsidR="00896EEC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896EEC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521C6A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55A">
        <w:rPr>
          <w:rFonts w:ascii="Times New Roman" w:hAnsi="Times New Roman" w:cs="Times New Roman"/>
          <w:b/>
          <w:sz w:val="24"/>
          <w:szCs w:val="24"/>
        </w:rPr>
        <w:t>2021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402F1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CE155A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55A">
        <w:rPr>
          <w:rFonts w:ascii="Times New Roman" w:hAnsi="Times New Roman" w:cs="Times New Roman"/>
          <w:b/>
          <w:sz w:val="24"/>
          <w:szCs w:val="24"/>
        </w:rPr>
        <w:t>2021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Pr="00742A16" w:rsidRDefault="00586863" w:rsidP="00912B49">
      <w:pPr>
        <w:pStyle w:val="Balk2"/>
        <w:jc w:val="both"/>
      </w:pPr>
      <w:r w:rsidRPr="00742A16">
        <w:t>Tüketici Gü</w:t>
      </w:r>
      <w:r w:rsidR="00A763A1" w:rsidRPr="00742A16">
        <w:t>ven Endeksi bir önceki aya göre</w:t>
      </w:r>
      <w:r w:rsidR="00242BC9" w:rsidRPr="00742A16">
        <w:t xml:space="preserve"> </w:t>
      </w:r>
      <w:r w:rsidR="00521C6A">
        <w:t>arttı</w:t>
      </w:r>
    </w:p>
    <w:p w:rsidR="00A36B01" w:rsidRDefault="00A36B01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A36B01">
        <w:rPr>
          <w:rFonts w:ascii="Times New Roman" w:hAnsi="Times New Roman" w:cs="Times New Roman"/>
          <w:sz w:val="24"/>
          <w:szCs w:val="24"/>
        </w:rPr>
        <w:t>Avrupa Komisyonu Ekonomik ve Finansal İşler Genel Müdürlüğü'nün (European Commission Directorate-General for Economic and Financial Affairs-DG ECFIN) tavsiyeleri doğrultusunda ve endeksin uluslararası karşılaştırılabilirliğini sağlamak amacıyla tüketici güven endeksini oluşturan dört alt endeksten ikisi güncellenmiştir.</w:t>
      </w:r>
    </w:p>
    <w:p w:rsidR="00586863" w:rsidRDefault="00521C6A" w:rsidP="008914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2021</w:t>
      </w:r>
      <w:r w:rsidR="00586863" w:rsidRPr="0074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Ocak</w:t>
      </w:r>
      <w:r w:rsidR="00586863" w:rsidRPr="00742A16">
        <w:rPr>
          <w:rFonts w:ascii="Times New Roman" w:hAnsi="Times New Roman" w:cs="Times New Roman"/>
          <w:sz w:val="24"/>
          <w:szCs w:val="24"/>
        </w:rPr>
        <w:t xml:space="preserve"> ayında </w:t>
      </w:r>
      <w:r>
        <w:rPr>
          <w:rFonts w:ascii="Times New Roman" w:hAnsi="Times New Roman" w:cs="Times New Roman"/>
          <w:sz w:val="24"/>
          <w:szCs w:val="24"/>
        </w:rPr>
        <w:t>83,3</w:t>
      </w:r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CE155A">
        <w:rPr>
          <w:rFonts w:ascii="Times New Roman" w:hAnsi="Times New Roman" w:cs="Times New Roman"/>
          <w:sz w:val="24"/>
          <w:szCs w:val="24"/>
        </w:rPr>
        <w:t>2021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Şubat</w:t>
      </w:r>
      <w:r w:rsidR="00B65BC0">
        <w:rPr>
          <w:rFonts w:ascii="Times New Roman" w:hAnsi="Times New Roman" w:cs="Times New Roman"/>
          <w:sz w:val="24"/>
          <w:szCs w:val="24"/>
        </w:rPr>
        <w:t xml:space="preserve"> </w:t>
      </w:r>
      <w:r w:rsidR="007C5A4D">
        <w:rPr>
          <w:rFonts w:ascii="Times New Roman" w:hAnsi="Times New Roman" w:cs="Times New Roman"/>
          <w:sz w:val="24"/>
          <w:szCs w:val="24"/>
        </w:rPr>
        <w:t xml:space="preserve">ayında </w:t>
      </w:r>
      <w:r>
        <w:rPr>
          <w:rFonts w:ascii="Times New Roman" w:hAnsi="Times New Roman" w:cs="Times New Roman"/>
          <w:sz w:val="24"/>
          <w:szCs w:val="24"/>
        </w:rPr>
        <w:t>yüzde 1</w:t>
      </w:r>
      <w:r w:rsidR="00CE155A">
        <w:rPr>
          <w:rFonts w:ascii="Times New Roman" w:hAnsi="Times New Roman" w:cs="Times New Roman"/>
          <w:sz w:val="24"/>
          <w:szCs w:val="24"/>
        </w:rPr>
        <w:t>,2 puan artarak</w:t>
      </w:r>
      <w:r w:rsidR="007C5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84,5</w:t>
      </w:r>
      <w:r w:rsidR="00CE155A">
        <w:rPr>
          <w:rFonts w:ascii="Times New Roman" w:hAnsi="Times New Roman" w:cs="Times New Roman"/>
          <w:sz w:val="24"/>
          <w:szCs w:val="24"/>
        </w:rPr>
        <w:t xml:space="preserve"> seviyesine yükselmiştir.</w:t>
      </w:r>
      <w:r w:rsidR="00896EEC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>Bir önce</w:t>
      </w:r>
      <w:r w:rsidR="0000735B">
        <w:rPr>
          <w:rFonts w:ascii="Times New Roman" w:hAnsi="Times New Roman" w:cs="Times New Roman"/>
          <w:sz w:val="24"/>
          <w:szCs w:val="24"/>
        </w:rPr>
        <w:t>k</w:t>
      </w:r>
      <w:r w:rsidR="001B4C27">
        <w:rPr>
          <w:rFonts w:ascii="Times New Roman" w:hAnsi="Times New Roman" w:cs="Times New Roman"/>
          <w:sz w:val="24"/>
          <w:szCs w:val="24"/>
        </w:rPr>
        <w:t>i y</w:t>
      </w:r>
      <w:r>
        <w:rPr>
          <w:rFonts w:ascii="Times New Roman" w:hAnsi="Times New Roman" w:cs="Times New Roman"/>
          <w:sz w:val="24"/>
          <w:szCs w:val="24"/>
        </w:rPr>
        <w:t>ılın aynı dönemine göre ise 4</w:t>
      </w:r>
      <w:r w:rsidR="00CE155A">
        <w:rPr>
          <w:rFonts w:ascii="Times New Roman" w:hAnsi="Times New Roman" w:cs="Times New Roman"/>
          <w:sz w:val="24"/>
          <w:szCs w:val="24"/>
        </w:rPr>
        <w:t>,9</w:t>
      </w:r>
      <w:r w:rsidR="00274CC0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CE155A">
        <w:rPr>
          <w:rFonts w:ascii="Times New Roman" w:hAnsi="Times New Roman" w:cs="Times New Roman"/>
          <w:sz w:val="24"/>
          <w:szCs w:val="24"/>
        </w:rPr>
        <w:t>artış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CE155A">
        <w:t xml:space="preserve"> 2020</w:t>
      </w:r>
      <w:r>
        <w:t>-</w:t>
      </w:r>
      <w:r w:rsidR="00896EEC">
        <w:t xml:space="preserve"> </w:t>
      </w:r>
      <w:r w:rsidR="00521C6A">
        <w:t>Şubat</w:t>
      </w:r>
      <w:r w:rsidR="00896EEC">
        <w:t xml:space="preserve"> </w:t>
      </w:r>
      <w:r w:rsidR="00CE155A">
        <w:t>2021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05" cy="3019425"/>
            <wp:effectExtent l="0" t="0" r="1079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4675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D91771">
        <w:rPr>
          <w:rFonts w:ascii="Times New Roman" w:hAnsi="Times New Roman" w:cs="Times New Roman"/>
          <w:sz w:val="24"/>
          <w:szCs w:val="24"/>
        </w:rPr>
        <w:t>m</w:t>
      </w:r>
      <w:r w:rsidR="00D91771" w:rsidRPr="00D91771">
        <w:rPr>
          <w:rFonts w:ascii="Times New Roman" w:hAnsi="Times New Roman" w:cs="Times New Roman"/>
          <w:sz w:val="24"/>
          <w:szCs w:val="24"/>
        </w:rPr>
        <w:t xml:space="preserve">evcut dönemde hanenin maddi durumu </w:t>
      </w:r>
      <w:r w:rsidR="00004327">
        <w:rPr>
          <w:rFonts w:ascii="Times New Roman" w:hAnsi="Times New Roman" w:cs="Times New Roman"/>
          <w:sz w:val="24"/>
          <w:szCs w:val="24"/>
        </w:rPr>
        <w:t>(</w:t>
      </w:r>
      <w:r w:rsidR="00521C6A">
        <w:rPr>
          <w:rFonts w:ascii="Times New Roman" w:hAnsi="Times New Roman" w:cs="Times New Roman"/>
          <w:sz w:val="24"/>
          <w:szCs w:val="24"/>
        </w:rPr>
        <w:t>2,6</w:t>
      </w:r>
      <w:r w:rsidR="00213EFD">
        <w:rPr>
          <w:rFonts w:ascii="Times New Roman" w:hAnsi="Times New Roman" w:cs="Times New Roman"/>
          <w:sz w:val="24"/>
          <w:szCs w:val="24"/>
        </w:rPr>
        <w:t xml:space="preserve"> puan)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521C6A">
        <w:rPr>
          <w:rFonts w:ascii="Times New Roman" w:hAnsi="Times New Roman" w:cs="Times New Roman"/>
          <w:sz w:val="24"/>
          <w:szCs w:val="24"/>
        </w:rPr>
        <w:t>arttığı</w:t>
      </w:r>
      <w:r w:rsidR="00D0036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D91771">
        <w:rPr>
          <w:rFonts w:ascii="Times New Roman" w:hAnsi="Times New Roman" w:cs="Times New Roman"/>
          <w:sz w:val="24"/>
          <w:szCs w:val="24"/>
        </w:rPr>
        <w:t xml:space="preserve"> gelecek 12 ay için h</w:t>
      </w:r>
      <w:r w:rsidR="00D91771" w:rsidRPr="00D91771">
        <w:rPr>
          <w:rFonts w:ascii="Times New Roman" w:hAnsi="Times New Roman" w:cs="Times New Roman"/>
          <w:sz w:val="24"/>
          <w:szCs w:val="24"/>
        </w:rPr>
        <w:t>anenin maddi durum beklentisi</w:t>
      </w:r>
      <w:r w:rsidR="00D91771">
        <w:rPr>
          <w:rFonts w:ascii="Times New Roman" w:hAnsi="Times New Roman" w:cs="Times New Roman"/>
          <w:sz w:val="24"/>
          <w:szCs w:val="24"/>
        </w:rPr>
        <w:t>nin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521C6A">
        <w:rPr>
          <w:rFonts w:ascii="Times New Roman" w:hAnsi="Times New Roman" w:cs="Times New Roman"/>
          <w:sz w:val="24"/>
          <w:szCs w:val="24"/>
        </w:rPr>
        <w:t>(0,7</w:t>
      </w:r>
      <w:r w:rsidR="00CE155A">
        <w:rPr>
          <w:rFonts w:ascii="Times New Roman" w:hAnsi="Times New Roman" w:cs="Times New Roman"/>
          <w:sz w:val="24"/>
          <w:szCs w:val="24"/>
        </w:rPr>
        <w:t xml:space="preserve"> puan) arttığı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D91771">
        <w:rPr>
          <w:rFonts w:ascii="Times New Roman" w:hAnsi="Times New Roman" w:cs="Times New Roman"/>
          <w:sz w:val="24"/>
          <w:szCs w:val="24"/>
        </w:rPr>
        <w:t>g</w:t>
      </w:r>
      <w:r w:rsidR="00D91771" w:rsidRPr="00D91771">
        <w:rPr>
          <w:rFonts w:ascii="Times New Roman" w:hAnsi="Times New Roman" w:cs="Times New Roman"/>
          <w:sz w:val="24"/>
          <w:szCs w:val="24"/>
        </w:rPr>
        <w:t>enel ekonomik durum beklentisi</w:t>
      </w:r>
      <w:r w:rsidR="00D91771">
        <w:rPr>
          <w:rFonts w:ascii="Times New Roman" w:hAnsi="Times New Roman" w:cs="Times New Roman"/>
          <w:sz w:val="24"/>
          <w:szCs w:val="24"/>
        </w:rPr>
        <w:t>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521C6A">
        <w:rPr>
          <w:rFonts w:ascii="Times New Roman" w:hAnsi="Times New Roman" w:cs="Times New Roman"/>
          <w:sz w:val="24"/>
          <w:szCs w:val="24"/>
        </w:rPr>
        <w:t>(3,5</w:t>
      </w:r>
      <w:r w:rsidR="00C34F26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puan</w:t>
      </w:r>
      <w:r w:rsidR="006F299E">
        <w:rPr>
          <w:rFonts w:ascii="Times New Roman" w:hAnsi="Times New Roman" w:cs="Times New Roman"/>
          <w:sz w:val="24"/>
          <w:szCs w:val="24"/>
        </w:rPr>
        <w:t>)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7C5A4D">
        <w:rPr>
          <w:rFonts w:ascii="Times New Roman" w:hAnsi="Times New Roman" w:cs="Times New Roman"/>
          <w:sz w:val="24"/>
          <w:szCs w:val="24"/>
        </w:rPr>
        <w:t>arttığı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D91771" w:rsidRPr="00D91771">
        <w:rPr>
          <w:rFonts w:ascii="Times New Roman" w:hAnsi="Times New Roman" w:cs="Times New Roman"/>
          <w:sz w:val="24"/>
          <w:szCs w:val="24"/>
        </w:rPr>
        <w:t>Dayanıklı tüketim mallarına harcama yapma düşüncesi</w:t>
      </w:r>
      <w:r w:rsidR="002053C5">
        <w:rPr>
          <w:rFonts w:ascii="Times New Roman" w:hAnsi="Times New Roman" w:cs="Times New Roman"/>
          <w:sz w:val="24"/>
          <w:szCs w:val="24"/>
        </w:rPr>
        <w:t xml:space="preserve"> ise </w:t>
      </w:r>
      <w:r w:rsidR="00896EEC">
        <w:rPr>
          <w:rFonts w:ascii="Times New Roman" w:hAnsi="Times New Roman" w:cs="Times New Roman"/>
          <w:sz w:val="24"/>
          <w:szCs w:val="24"/>
        </w:rPr>
        <w:t xml:space="preserve">2020 </w:t>
      </w:r>
      <w:r w:rsidR="00521C6A">
        <w:rPr>
          <w:rFonts w:ascii="Times New Roman" w:hAnsi="Times New Roman" w:cs="Times New Roman"/>
          <w:sz w:val="24"/>
          <w:szCs w:val="24"/>
        </w:rPr>
        <w:t>Ocak ayında 97,3</w:t>
      </w:r>
      <w:r w:rsidR="006F299E">
        <w:rPr>
          <w:rFonts w:ascii="Times New Roman" w:hAnsi="Times New Roman" w:cs="Times New Roman"/>
          <w:sz w:val="24"/>
          <w:szCs w:val="24"/>
        </w:rPr>
        <w:t xml:space="preserve"> puan iken </w:t>
      </w:r>
      <w:r w:rsidR="00521C6A">
        <w:rPr>
          <w:rFonts w:ascii="Times New Roman" w:hAnsi="Times New Roman" w:cs="Times New Roman"/>
          <w:sz w:val="24"/>
          <w:szCs w:val="24"/>
        </w:rPr>
        <w:t>2021 Şubat</w:t>
      </w:r>
      <w:r w:rsidR="00425551">
        <w:rPr>
          <w:rFonts w:ascii="Times New Roman" w:hAnsi="Times New Roman" w:cs="Times New Roman"/>
          <w:sz w:val="24"/>
          <w:szCs w:val="24"/>
        </w:rPr>
        <w:t xml:space="preserve"> ayında </w:t>
      </w:r>
      <w:r w:rsidR="00521C6A">
        <w:rPr>
          <w:rFonts w:ascii="Times New Roman" w:hAnsi="Times New Roman" w:cs="Times New Roman"/>
          <w:sz w:val="24"/>
          <w:szCs w:val="24"/>
        </w:rPr>
        <w:t>95,5</w:t>
      </w:r>
      <w:r w:rsidR="00004327">
        <w:rPr>
          <w:rFonts w:ascii="Times New Roman" w:hAnsi="Times New Roman" w:cs="Times New Roman"/>
          <w:sz w:val="24"/>
          <w:szCs w:val="24"/>
        </w:rPr>
        <w:t xml:space="preserve"> </w:t>
      </w:r>
      <w:r w:rsidR="00FA3744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521C6A">
        <w:rPr>
          <w:rFonts w:ascii="Times New Roman" w:hAnsi="Times New Roman" w:cs="Times New Roman"/>
          <w:sz w:val="24"/>
          <w:szCs w:val="24"/>
        </w:rPr>
        <w:t>gerilemiştir</w:t>
      </w:r>
      <w:r w:rsidR="00FA3744">
        <w:rPr>
          <w:rFonts w:ascii="Times New Roman" w:hAnsi="Times New Roman" w:cs="Times New Roman"/>
          <w:sz w:val="24"/>
          <w:szCs w:val="24"/>
        </w:rPr>
        <w:t>.</w:t>
      </w: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8B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vAlign w:val="center"/>
            <w:hideMark/>
          </w:tcPr>
          <w:p w:rsidR="004E7EAF" w:rsidRPr="00DC3CEB" w:rsidRDefault="004E7EAF" w:rsidP="008B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Bir Önceki Aya Göre Değişim O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>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274CC0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74CC0" w:rsidRPr="00415908" w:rsidRDefault="00274CC0" w:rsidP="00274CC0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74CC0" w:rsidRPr="00415908" w:rsidRDefault="00521C6A" w:rsidP="00274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Ocak’21</w:t>
            </w:r>
          </w:p>
        </w:tc>
        <w:tc>
          <w:tcPr>
            <w:tcW w:w="1328" w:type="dxa"/>
            <w:noWrap/>
            <w:hideMark/>
          </w:tcPr>
          <w:p w:rsidR="00274CC0" w:rsidRPr="00415908" w:rsidRDefault="00521C6A" w:rsidP="00274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Şubat</w:t>
            </w:r>
            <w:r w:rsidR="00CE155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’21</w:t>
            </w:r>
          </w:p>
        </w:tc>
        <w:tc>
          <w:tcPr>
            <w:tcW w:w="1300" w:type="dxa"/>
          </w:tcPr>
          <w:p w:rsidR="00274CC0" w:rsidRPr="00415908" w:rsidRDefault="00521C6A" w:rsidP="00274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Ocak’21</w:t>
            </w:r>
          </w:p>
        </w:tc>
        <w:tc>
          <w:tcPr>
            <w:tcW w:w="1300" w:type="dxa"/>
          </w:tcPr>
          <w:p w:rsidR="00274CC0" w:rsidRPr="00415908" w:rsidRDefault="00521C6A" w:rsidP="00274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Şubat’21</w:t>
            </w:r>
          </w:p>
        </w:tc>
      </w:tr>
      <w:tr w:rsidR="00521C6A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521C6A" w:rsidRPr="00146AE4" w:rsidRDefault="00521C6A" w:rsidP="00521C6A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83,3</w:t>
            </w:r>
          </w:p>
        </w:tc>
        <w:tc>
          <w:tcPr>
            <w:tcW w:w="1328" w:type="dxa"/>
            <w:noWrap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84,5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4,0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1,5</w:t>
            </w:r>
          </w:p>
        </w:tc>
      </w:tr>
      <w:tr w:rsidR="00521C6A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521C6A" w:rsidRPr="00146AE4" w:rsidRDefault="00521C6A" w:rsidP="00521C6A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Mevcut dönemde hanenin maddi durumu</w:t>
            </w:r>
          </w:p>
        </w:tc>
        <w:tc>
          <w:tcPr>
            <w:tcW w:w="1279" w:type="dxa"/>
            <w:noWrap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63,7</w:t>
            </w:r>
          </w:p>
        </w:tc>
        <w:tc>
          <w:tcPr>
            <w:tcW w:w="1328" w:type="dxa"/>
            <w:noWrap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66,3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-3,6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4,1</w:t>
            </w:r>
          </w:p>
        </w:tc>
      </w:tr>
      <w:tr w:rsidR="00521C6A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521C6A" w:rsidRPr="00146AE4" w:rsidRDefault="00521C6A" w:rsidP="00521C6A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83,8</w:t>
            </w:r>
          </w:p>
        </w:tc>
        <w:tc>
          <w:tcPr>
            <w:tcW w:w="1328" w:type="dxa"/>
            <w:noWrap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84,5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6,3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0,8</w:t>
            </w:r>
          </w:p>
        </w:tc>
      </w:tr>
      <w:tr w:rsidR="00521C6A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521C6A" w:rsidRPr="00427239" w:rsidRDefault="00521C6A" w:rsidP="00521C6A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88,2</w:t>
            </w:r>
          </w:p>
        </w:tc>
        <w:tc>
          <w:tcPr>
            <w:tcW w:w="1328" w:type="dxa"/>
            <w:noWrap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91,7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6,5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59BC">
              <w:t>4,0</w:t>
            </w:r>
          </w:p>
        </w:tc>
      </w:tr>
      <w:tr w:rsidR="00521C6A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521C6A" w:rsidRPr="00146AE4" w:rsidRDefault="00521C6A" w:rsidP="00521C6A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Dayanıklı tüketim mallarına harcama yapma düşüncesi</w:t>
            </w:r>
          </w:p>
        </w:tc>
        <w:tc>
          <w:tcPr>
            <w:tcW w:w="1279" w:type="dxa"/>
            <w:noWrap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97,3</w:t>
            </w:r>
          </w:p>
        </w:tc>
        <w:tc>
          <w:tcPr>
            <w:tcW w:w="1328" w:type="dxa"/>
            <w:noWrap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95,5</w:t>
            </w:r>
          </w:p>
        </w:tc>
        <w:tc>
          <w:tcPr>
            <w:tcW w:w="1300" w:type="dxa"/>
          </w:tcPr>
          <w:p w:rsidR="00521C6A" w:rsidRPr="00A359BC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5,1</w:t>
            </w:r>
          </w:p>
        </w:tc>
        <w:tc>
          <w:tcPr>
            <w:tcW w:w="1300" w:type="dxa"/>
          </w:tcPr>
          <w:p w:rsidR="00521C6A" w:rsidRDefault="00521C6A" w:rsidP="00521C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59BC">
              <w:t>-1,9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3"/>
      </w:tblGrid>
      <w:tr w:rsidR="00427239" w:rsidRPr="00427239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427239" w:rsidRDefault="00427239" w:rsidP="00427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3A" w:rsidRDefault="0038253A" w:rsidP="007065F8">
      <w:pPr>
        <w:spacing w:after="0" w:line="240" w:lineRule="auto"/>
      </w:pPr>
      <w:r>
        <w:separator/>
      </w:r>
    </w:p>
  </w:endnote>
  <w:endnote w:type="continuationSeparator" w:id="0">
    <w:p w:rsidR="0038253A" w:rsidRDefault="0038253A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3A" w:rsidRDefault="0038253A" w:rsidP="007065F8">
      <w:pPr>
        <w:spacing w:after="0" w:line="240" w:lineRule="auto"/>
      </w:pPr>
      <w:r>
        <w:separator/>
      </w:r>
    </w:p>
  </w:footnote>
  <w:footnote w:type="continuationSeparator" w:id="0">
    <w:p w:rsidR="0038253A" w:rsidRDefault="0038253A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E5"/>
    <w:rsid w:val="00004327"/>
    <w:rsid w:val="0000735B"/>
    <w:rsid w:val="00015B74"/>
    <w:rsid w:val="00020CDC"/>
    <w:rsid w:val="000553EA"/>
    <w:rsid w:val="00055C6E"/>
    <w:rsid w:val="00056A46"/>
    <w:rsid w:val="00062B8F"/>
    <w:rsid w:val="00062BA2"/>
    <w:rsid w:val="00073962"/>
    <w:rsid w:val="000758DE"/>
    <w:rsid w:val="0007735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7181C"/>
    <w:rsid w:val="0018390D"/>
    <w:rsid w:val="00184AC2"/>
    <w:rsid w:val="001871D2"/>
    <w:rsid w:val="0019235B"/>
    <w:rsid w:val="00194C9C"/>
    <w:rsid w:val="001A1012"/>
    <w:rsid w:val="001A27FE"/>
    <w:rsid w:val="001B4C27"/>
    <w:rsid w:val="001C338D"/>
    <w:rsid w:val="001C43D2"/>
    <w:rsid w:val="001C6B53"/>
    <w:rsid w:val="001F27B9"/>
    <w:rsid w:val="001F424F"/>
    <w:rsid w:val="001F6CB8"/>
    <w:rsid w:val="002031C4"/>
    <w:rsid w:val="002053C5"/>
    <w:rsid w:val="00205D71"/>
    <w:rsid w:val="002073D0"/>
    <w:rsid w:val="00210E94"/>
    <w:rsid w:val="00213EFD"/>
    <w:rsid w:val="00226208"/>
    <w:rsid w:val="0022657E"/>
    <w:rsid w:val="002414A1"/>
    <w:rsid w:val="0024192E"/>
    <w:rsid w:val="00242BC9"/>
    <w:rsid w:val="0026666F"/>
    <w:rsid w:val="002726F9"/>
    <w:rsid w:val="002748F0"/>
    <w:rsid w:val="00274CC0"/>
    <w:rsid w:val="00290392"/>
    <w:rsid w:val="00290F0E"/>
    <w:rsid w:val="002912F1"/>
    <w:rsid w:val="002A1E0B"/>
    <w:rsid w:val="002A5F01"/>
    <w:rsid w:val="002B0CF0"/>
    <w:rsid w:val="002B4675"/>
    <w:rsid w:val="002C0307"/>
    <w:rsid w:val="002C4B95"/>
    <w:rsid w:val="002C6F9B"/>
    <w:rsid w:val="002E01A4"/>
    <w:rsid w:val="002E4D3E"/>
    <w:rsid w:val="003037E9"/>
    <w:rsid w:val="00305A25"/>
    <w:rsid w:val="00342FD7"/>
    <w:rsid w:val="00344B2B"/>
    <w:rsid w:val="0036091F"/>
    <w:rsid w:val="00360A28"/>
    <w:rsid w:val="00361365"/>
    <w:rsid w:val="00373D88"/>
    <w:rsid w:val="00377810"/>
    <w:rsid w:val="0038253A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3C6B"/>
    <w:rsid w:val="003E67C3"/>
    <w:rsid w:val="003F6E65"/>
    <w:rsid w:val="00400235"/>
    <w:rsid w:val="00403BE3"/>
    <w:rsid w:val="00404F0A"/>
    <w:rsid w:val="0041107D"/>
    <w:rsid w:val="0041620D"/>
    <w:rsid w:val="00421F8C"/>
    <w:rsid w:val="00425551"/>
    <w:rsid w:val="00427239"/>
    <w:rsid w:val="0043007D"/>
    <w:rsid w:val="004359C5"/>
    <w:rsid w:val="00440973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B7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1C6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C50DF"/>
    <w:rsid w:val="005D3B67"/>
    <w:rsid w:val="005E5A3C"/>
    <w:rsid w:val="005F5743"/>
    <w:rsid w:val="005F673D"/>
    <w:rsid w:val="006005D1"/>
    <w:rsid w:val="00610460"/>
    <w:rsid w:val="00620F8B"/>
    <w:rsid w:val="006245E5"/>
    <w:rsid w:val="00630BCE"/>
    <w:rsid w:val="006335FB"/>
    <w:rsid w:val="00634912"/>
    <w:rsid w:val="00640DDA"/>
    <w:rsid w:val="00641DA1"/>
    <w:rsid w:val="0066304C"/>
    <w:rsid w:val="00663970"/>
    <w:rsid w:val="00677CBE"/>
    <w:rsid w:val="006829F5"/>
    <w:rsid w:val="00697924"/>
    <w:rsid w:val="006A47B3"/>
    <w:rsid w:val="006B1C1A"/>
    <w:rsid w:val="006B1E56"/>
    <w:rsid w:val="006B3567"/>
    <w:rsid w:val="006C59D9"/>
    <w:rsid w:val="006E0E9A"/>
    <w:rsid w:val="006E72F9"/>
    <w:rsid w:val="006F299E"/>
    <w:rsid w:val="007065F8"/>
    <w:rsid w:val="00717468"/>
    <w:rsid w:val="00723AC6"/>
    <w:rsid w:val="00727627"/>
    <w:rsid w:val="00730F81"/>
    <w:rsid w:val="00733925"/>
    <w:rsid w:val="00741630"/>
    <w:rsid w:val="00742A16"/>
    <w:rsid w:val="0074610D"/>
    <w:rsid w:val="0075084D"/>
    <w:rsid w:val="00781A2B"/>
    <w:rsid w:val="007900DC"/>
    <w:rsid w:val="00791BA4"/>
    <w:rsid w:val="007B192F"/>
    <w:rsid w:val="007B24FA"/>
    <w:rsid w:val="007B61FB"/>
    <w:rsid w:val="007C5A4D"/>
    <w:rsid w:val="007D0079"/>
    <w:rsid w:val="007D0774"/>
    <w:rsid w:val="007D2264"/>
    <w:rsid w:val="007D5CCE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9144D"/>
    <w:rsid w:val="00896EEC"/>
    <w:rsid w:val="008A10BA"/>
    <w:rsid w:val="008A24AB"/>
    <w:rsid w:val="008B1ECF"/>
    <w:rsid w:val="008B3A68"/>
    <w:rsid w:val="008B4BB1"/>
    <w:rsid w:val="008B5B01"/>
    <w:rsid w:val="008B696B"/>
    <w:rsid w:val="008C1B69"/>
    <w:rsid w:val="008D2180"/>
    <w:rsid w:val="008D2ACB"/>
    <w:rsid w:val="008D482D"/>
    <w:rsid w:val="008D4FB1"/>
    <w:rsid w:val="008D5DFE"/>
    <w:rsid w:val="008E3943"/>
    <w:rsid w:val="008E52E9"/>
    <w:rsid w:val="008E7431"/>
    <w:rsid w:val="008F273C"/>
    <w:rsid w:val="00912B49"/>
    <w:rsid w:val="0092072B"/>
    <w:rsid w:val="00922C8F"/>
    <w:rsid w:val="0093617F"/>
    <w:rsid w:val="00940767"/>
    <w:rsid w:val="0094548D"/>
    <w:rsid w:val="00947AB4"/>
    <w:rsid w:val="00955A9B"/>
    <w:rsid w:val="009577EA"/>
    <w:rsid w:val="009661E0"/>
    <w:rsid w:val="009904DB"/>
    <w:rsid w:val="009912EC"/>
    <w:rsid w:val="009A24D6"/>
    <w:rsid w:val="009A35D6"/>
    <w:rsid w:val="009B2D02"/>
    <w:rsid w:val="009C12C4"/>
    <w:rsid w:val="009C1C4D"/>
    <w:rsid w:val="009C2513"/>
    <w:rsid w:val="009D0927"/>
    <w:rsid w:val="009D1DF7"/>
    <w:rsid w:val="009D69B9"/>
    <w:rsid w:val="009F1D4B"/>
    <w:rsid w:val="00A07D02"/>
    <w:rsid w:val="00A16920"/>
    <w:rsid w:val="00A17164"/>
    <w:rsid w:val="00A26AA6"/>
    <w:rsid w:val="00A305DF"/>
    <w:rsid w:val="00A36B01"/>
    <w:rsid w:val="00A451EE"/>
    <w:rsid w:val="00A4589E"/>
    <w:rsid w:val="00A7005C"/>
    <w:rsid w:val="00A7265D"/>
    <w:rsid w:val="00A763A1"/>
    <w:rsid w:val="00AA13D5"/>
    <w:rsid w:val="00AA7E2B"/>
    <w:rsid w:val="00AB51C3"/>
    <w:rsid w:val="00AC40C0"/>
    <w:rsid w:val="00AC5535"/>
    <w:rsid w:val="00AC74CA"/>
    <w:rsid w:val="00AD06B7"/>
    <w:rsid w:val="00AD3006"/>
    <w:rsid w:val="00AE095C"/>
    <w:rsid w:val="00AE1C2F"/>
    <w:rsid w:val="00AF040F"/>
    <w:rsid w:val="00AF36C5"/>
    <w:rsid w:val="00AF3C36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65BC0"/>
    <w:rsid w:val="00B77657"/>
    <w:rsid w:val="00B85A44"/>
    <w:rsid w:val="00BA241A"/>
    <w:rsid w:val="00BA30E4"/>
    <w:rsid w:val="00BA5148"/>
    <w:rsid w:val="00BB6821"/>
    <w:rsid w:val="00BD2522"/>
    <w:rsid w:val="00BD2FC9"/>
    <w:rsid w:val="00BD5BB4"/>
    <w:rsid w:val="00BD73F4"/>
    <w:rsid w:val="00BE2814"/>
    <w:rsid w:val="00BF0B58"/>
    <w:rsid w:val="00C01B5E"/>
    <w:rsid w:val="00C06435"/>
    <w:rsid w:val="00C11301"/>
    <w:rsid w:val="00C14DFF"/>
    <w:rsid w:val="00C27F45"/>
    <w:rsid w:val="00C34F26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D7CF1"/>
    <w:rsid w:val="00CE0456"/>
    <w:rsid w:val="00CE155A"/>
    <w:rsid w:val="00CE209E"/>
    <w:rsid w:val="00CF20D8"/>
    <w:rsid w:val="00CF66DE"/>
    <w:rsid w:val="00D00363"/>
    <w:rsid w:val="00D04E55"/>
    <w:rsid w:val="00D06F30"/>
    <w:rsid w:val="00D17FFB"/>
    <w:rsid w:val="00D24657"/>
    <w:rsid w:val="00D24FB2"/>
    <w:rsid w:val="00D26EE9"/>
    <w:rsid w:val="00D276BE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1771"/>
    <w:rsid w:val="00D9788A"/>
    <w:rsid w:val="00DB53F9"/>
    <w:rsid w:val="00DC0BE4"/>
    <w:rsid w:val="00DC1F2B"/>
    <w:rsid w:val="00DC26FB"/>
    <w:rsid w:val="00DC71DD"/>
    <w:rsid w:val="00DD507E"/>
    <w:rsid w:val="00DE2727"/>
    <w:rsid w:val="00DE3239"/>
    <w:rsid w:val="00DF6B5A"/>
    <w:rsid w:val="00E0706D"/>
    <w:rsid w:val="00E306B0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A75D6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76500"/>
    <w:rsid w:val="00F90C4B"/>
    <w:rsid w:val="00F90C4E"/>
    <w:rsid w:val="00F91582"/>
    <w:rsid w:val="00F9707B"/>
    <w:rsid w:val="00FA3744"/>
    <w:rsid w:val="00FB13E5"/>
    <w:rsid w:val="00FB1718"/>
    <w:rsid w:val="00FC4FA8"/>
    <w:rsid w:val="00FE1FDA"/>
    <w:rsid w:val="00FE445A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4130-3DF5-4243-A6B6-A88C012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4.0643746056997533E-2"/>
                  <c:y val="2.7370953630796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1D7-4177-AD59-DCE47E0963F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0666715725954813E-2"/>
                  <c:y val="-5.1994125734283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685063348495244E-3"/>
                  <c:y val="1.14979377577802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2270317780160998E-2"/>
                  <c:y val="4.7925681214138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570853325682289E-2"/>
                  <c:y val="5.5148731408573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894227072293346E-2"/>
                  <c:y val="-4.8025871766029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48441030873451E-2"/>
                  <c:y val="5.1180477440319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87B-46FD-B28F-CF9C8C49EEDE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0643746056997679E-2"/>
                  <c:y val="-7.9771903512060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821-4291-B756-C25669342CB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81.400000000000006</c:v>
                </c:pt>
                <c:pt idx="1">
                  <c:v>79.599999999999994</c:v>
                </c:pt>
                <c:pt idx="2">
                  <c:v>81.099999999999994</c:v>
                </c:pt>
                <c:pt idx="3">
                  <c:v>78.099999999999994</c:v>
                </c:pt>
                <c:pt idx="4">
                  <c:v>82.7</c:v>
                </c:pt>
                <c:pt idx="5">
                  <c:v>82.7</c:v>
                </c:pt>
                <c:pt idx="6">
                  <c:v>82.3</c:v>
                </c:pt>
                <c:pt idx="7">
                  <c:v>79.400000000000006</c:v>
                </c:pt>
                <c:pt idx="8">
                  <c:v>82</c:v>
                </c:pt>
                <c:pt idx="9">
                  <c:v>81.900000000000006</c:v>
                </c:pt>
                <c:pt idx="10">
                  <c:v>80.099999999999994</c:v>
                </c:pt>
                <c:pt idx="11">
                  <c:v>80.099999999999994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3.5466723332900622E-2"/>
                  <c:y val="-4.8025871766029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867437393595797E-2"/>
                  <c:y val="-4.1591693782756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798513503569064E-2"/>
                  <c:y val="5.1180477440319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343210511476152E-2"/>
                  <c:y val="4.7212223472065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95E-4B08-B320-BBC44E368C15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218975030200401E-2"/>
                  <c:y val="3.5307461567304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18A-44EC-B074-B0943433838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83.3</c:v>
                </c:pt>
                <c:pt idx="1">
                  <c:v>84.5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683639520"/>
        <c:axId val="-683651488"/>
      </c:lineChart>
      <c:catAx>
        <c:axId val="-683639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83651488"/>
        <c:crosses val="autoZero"/>
        <c:auto val="1"/>
        <c:lblAlgn val="ctr"/>
        <c:lblOffset val="100"/>
        <c:noMultiLvlLbl val="0"/>
      </c:catAx>
      <c:valAx>
        <c:axId val="-683651488"/>
        <c:scaling>
          <c:orientation val="minMax"/>
          <c:max val="90"/>
          <c:min val="70"/>
        </c:scaling>
        <c:delete val="0"/>
        <c:axPos val="l"/>
        <c:numFmt formatCode="0.0" sourceLinked="1"/>
        <c:majorTickMark val="out"/>
        <c:minorTickMark val="none"/>
        <c:tickLblPos val="nextTo"/>
        <c:crossAx val="-683639520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Senay Akyildiz</cp:lastModifiedBy>
  <cp:revision>71</cp:revision>
  <cp:lastPrinted>2017-06-22T11:04:00Z</cp:lastPrinted>
  <dcterms:created xsi:type="dcterms:W3CDTF">2019-02-26T08:40:00Z</dcterms:created>
  <dcterms:modified xsi:type="dcterms:W3CDTF">2021-02-24T10:53:00Z</dcterms:modified>
</cp:coreProperties>
</file>